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036" w:rsidRDefault="009F5036">
      <w:pPr>
        <w:spacing w:line="600" w:lineRule="exact"/>
        <w:jc w:val="center"/>
        <w:outlineLvl w:val="0"/>
        <w:rPr>
          <w:rFonts w:ascii="方正小标宋简体" w:eastAsia="方正小标宋简体" w:hAnsi="宋体"/>
          <w:color w:val="0000FF"/>
          <w:sz w:val="72"/>
          <w:szCs w:val="72"/>
        </w:rPr>
      </w:pPr>
      <w:bookmarkStart w:id="0" w:name="_Toc15306267"/>
    </w:p>
    <w:p w:rsidR="009F5036" w:rsidRDefault="009F5036">
      <w:pPr>
        <w:spacing w:line="600" w:lineRule="exact"/>
        <w:jc w:val="center"/>
        <w:outlineLvl w:val="0"/>
        <w:rPr>
          <w:rFonts w:ascii="方正小标宋简体" w:eastAsia="方正小标宋简体" w:hAnsi="宋体"/>
          <w:sz w:val="72"/>
          <w:szCs w:val="72"/>
        </w:rPr>
      </w:pPr>
    </w:p>
    <w:p w:rsidR="009F5036" w:rsidRDefault="009F5036">
      <w:pPr>
        <w:spacing w:line="600" w:lineRule="exact"/>
        <w:jc w:val="center"/>
        <w:outlineLvl w:val="0"/>
        <w:rPr>
          <w:rFonts w:ascii="方正小标宋简体" w:eastAsia="方正小标宋简体" w:hAnsi="宋体"/>
          <w:sz w:val="72"/>
          <w:szCs w:val="72"/>
        </w:rPr>
      </w:pPr>
    </w:p>
    <w:p w:rsidR="009F5036" w:rsidRDefault="00514D84">
      <w:pPr>
        <w:adjustRightInd w:val="0"/>
        <w:snapToGrid w:val="0"/>
        <w:spacing w:line="360" w:lineRule="auto"/>
        <w:jc w:val="center"/>
        <w:outlineLvl w:val="0"/>
        <w:rPr>
          <w:rFonts w:ascii="方正小标宋简体" w:eastAsia="方正小标宋简体" w:hAnsi="宋体"/>
          <w:sz w:val="52"/>
          <w:szCs w:val="52"/>
        </w:rPr>
      </w:pPr>
      <w:bookmarkStart w:id="1" w:name="_Toc15377425"/>
      <w:bookmarkStart w:id="2" w:name="_Toc15377193"/>
      <w:bookmarkStart w:id="3" w:name="_Toc15378441"/>
      <w:bookmarkStart w:id="4" w:name="_Toc15396597"/>
      <w:bookmarkStart w:id="5" w:name="_Toc15396475"/>
      <w:r>
        <w:rPr>
          <w:rFonts w:ascii="黑体" w:eastAsia="黑体" w:hAnsi="黑体"/>
          <w:sz w:val="52"/>
          <w:szCs w:val="52"/>
        </w:rPr>
        <w:t>201</w:t>
      </w:r>
      <w:r>
        <w:rPr>
          <w:rFonts w:ascii="黑体" w:eastAsia="黑体" w:hAnsi="黑体" w:hint="eastAsia"/>
          <w:sz w:val="52"/>
          <w:szCs w:val="52"/>
        </w:rPr>
        <w:t>8</w:t>
      </w:r>
      <w:r>
        <w:rPr>
          <w:rFonts w:ascii="方正小标宋简体" w:eastAsia="方正小标宋简体" w:hAnsi="宋体" w:hint="eastAsia"/>
          <w:sz w:val="52"/>
          <w:szCs w:val="52"/>
        </w:rPr>
        <w:t>年度</w:t>
      </w:r>
      <w:bookmarkStart w:id="6" w:name="_Toc15377426"/>
      <w:bookmarkStart w:id="7" w:name="_Toc15396476"/>
      <w:bookmarkStart w:id="8" w:name="_Toc15396598"/>
      <w:bookmarkStart w:id="9" w:name="_Toc15377194"/>
      <w:bookmarkStart w:id="10" w:name="_Toc15378442"/>
      <w:bookmarkEnd w:id="1"/>
      <w:bookmarkEnd w:id="2"/>
      <w:bookmarkEnd w:id="3"/>
      <w:bookmarkEnd w:id="4"/>
      <w:bookmarkEnd w:id="5"/>
      <w:r>
        <w:rPr>
          <w:rFonts w:ascii="方正小标宋简体" w:eastAsia="方正小标宋简体" w:hAnsi="宋体" w:hint="eastAsia"/>
          <w:sz w:val="52"/>
          <w:szCs w:val="52"/>
        </w:rPr>
        <w:t>四川省攀枝花市西区</w:t>
      </w:r>
      <w:bookmarkStart w:id="11" w:name="_Toc15306268"/>
      <w:bookmarkEnd w:id="0"/>
      <w:r>
        <w:rPr>
          <w:rFonts w:ascii="方正小标宋简体" w:eastAsia="方正小标宋简体" w:hAnsi="宋体" w:hint="eastAsia"/>
          <w:sz w:val="52"/>
          <w:szCs w:val="52"/>
        </w:rPr>
        <w:t>公共卫生管理中心</w:t>
      </w:r>
      <w:r>
        <w:rPr>
          <w:rFonts w:ascii="方正小标宋简体" w:eastAsia="方正小标宋简体" w:hAnsi="宋体" w:hint="eastAsia"/>
          <w:sz w:val="52"/>
          <w:szCs w:val="52"/>
        </w:rPr>
        <w:t>部门决算</w:t>
      </w:r>
      <w:bookmarkEnd w:id="6"/>
      <w:bookmarkEnd w:id="7"/>
      <w:bookmarkEnd w:id="8"/>
      <w:bookmarkEnd w:id="9"/>
      <w:bookmarkEnd w:id="10"/>
      <w:bookmarkEnd w:id="11"/>
      <w:r>
        <w:rPr>
          <w:rFonts w:ascii="方正小标宋简体" w:eastAsia="方正小标宋简体" w:hAnsi="宋体" w:hint="eastAsia"/>
          <w:sz w:val="52"/>
          <w:szCs w:val="52"/>
        </w:rPr>
        <w:t>编制说明</w:t>
      </w:r>
    </w:p>
    <w:p w:rsidR="009F5036" w:rsidRDefault="00514D84">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9F5036" w:rsidRDefault="00514D84">
      <w:pPr>
        <w:widowControl/>
        <w:jc w:val="center"/>
        <w:rPr>
          <w:rFonts w:ascii="黑体" w:eastAsia="黑体" w:hAnsi="黑体"/>
          <w:sz w:val="28"/>
          <w:szCs w:val="28"/>
        </w:rPr>
      </w:pPr>
      <w:r>
        <w:rPr>
          <w:rFonts w:ascii="黑体" w:eastAsia="黑体" w:hAnsi="黑体"/>
          <w:sz w:val="48"/>
          <w:szCs w:val="48"/>
        </w:rPr>
        <w:fldChar w:fldCharType="begin"/>
      </w:r>
      <w:r>
        <w:rPr>
          <w:rFonts w:ascii="黑体" w:eastAsia="黑体" w:hAnsi="黑体"/>
          <w:sz w:val="48"/>
          <w:szCs w:val="48"/>
        </w:rPr>
        <w:instrText xml:space="preserve"> TOC \o "1-2" \h \z \u </w:instrText>
      </w:r>
      <w:r>
        <w:rPr>
          <w:rFonts w:ascii="黑体" w:eastAsia="黑体" w:hAnsi="黑体"/>
          <w:sz w:val="48"/>
          <w:szCs w:val="48"/>
        </w:rPr>
        <w:fldChar w:fldCharType="separate"/>
      </w:r>
    </w:p>
    <w:p w:rsidR="009F5036" w:rsidRDefault="00514D84">
      <w:pPr>
        <w:pStyle w:val="TOC1"/>
      </w:pPr>
      <w:r>
        <w:rPr>
          <w:rFonts w:hint="eastAsia"/>
        </w:rPr>
        <w:t>公开时间：</w:t>
      </w:r>
      <w:r>
        <w:rPr>
          <w:rFonts w:hint="eastAsia"/>
        </w:rPr>
        <w:t>2019</w:t>
      </w:r>
      <w:r>
        <w:rPr>
          <w:rFonts w:hint="eastAsia"/>
        </w:rPr>
        <w:t>年</w:t>
      </w:r>
      <w:r>
        <w:rPr>
          <w:rFonts w:hint="eastAsia"/>
        </w:rPr>
        <w:t>10</w:t>
      </w:r>
      <w:r>
        <w:rPr>
          <w:rFonts w:hint="eastAsia"/>
        </w:rPr>
        <w:t>月</w:t>
      </w:r>
      <w:r>
        <w:rPr>
          <w:rFonts w:hint="eastAsia"/>
        </w:rPr>
        <w:t>2</w:t>
      </w:r>
      <w:r w:rsidR="00AC392E">
        <w:t>5</w:t>
      </w:r>
      <w:r>
        <w:rPr>
          <w:rFonts w:hint="eastAsia"/>
        </w:rPr>
        <w:t>日</w:t>
      </w:r>
      <w:bookmarkStart w:id="12" w:name="_GoBack"/>
      <w:bookmarkEnd w:id="12"/>
    </w:p>
    <w:p w:rsidR="009F5036" w:rsidRDefault="009F5036"/>
    <w:p w:rsidR="009F5036" w:rsidRDefault="00514D84">
      <w:pPr>
        <w:pStyle w:val="TOC1"/>
      </w:pPr>
      <w:hyperlink w:anchor="_Toc15396599" w:history="1">
        <w:r>
          <w:rPr>
            <w:rStyle w:val="a8"/>
            <w:rFonts w:hint="eastAsia"/>
            <w:color w:val="auto"/>
          </w:rPr>
          <w:t>第一部分部门概况</w:t>
        </w:r>
        <w:r>
          <w:tab/>
        </w:r>
        <w:r>
          <w:rPr>
            <w:rFonts w:hint="eastAsia"/>
          </w:rPr>
          <w:t>4</w:t>
        </w:r>
      </w:hyperlink>
    </w:p>
    <w:p w:rsidR="009F5036" w:rsidRDefault="00514D84">
      <w:pPr>
        <w:pStyle w:val="TOC2"/>
      </w:pPr>
      <w:hyperlink w:anchor="_Toc15396600" w:history="1">
        <w:r>
          <w:rPr>
            <w:rStyle w:val="a8"/>
            <w:rFonts w:hint="eastAsia"/>
            <w:color w:val="auto"/>
          </w:rPr>
          <w:t>一、基本职能及主要工作</w:t>
        </w:r>
        <w:r>
          <w:tab/>
        </w:r>
        <w:r>
          <w:rPr>
            <w:rFonts w:hint="eastAsia"/>
          </w:rPr>
          <w:t>4</w:t>
        </w:r>
      </w:hyperlink>
    </w:p>
    <w:p w:rsidR="009F5036" w:rsidRDefault="00514D84">
      <w:pPr>
        <w:pStyle w:val="TOC2"/>
      </w:pPr>
      <w:hyperlink w:anchor="_Toc15396601" w:history="1">
        <w:r>
          <w:rPr>
            <w:rStyle w:val="a8"/>
            <w:rFonts w:hint="eastAsia"/>
            <w:color w:val="auto"/>
          </w:rPr>
          <w:t>二、机构设置</w:t>
        </w:r>
        <w:r>
          <w:tab/>
        </w:r>
        <w:r>
          <w:fldChar w:fldCharType="begin"/>
        </w:r>
        <w:r>
          <w:instrText xml:space="preserve"> PAGEREF _Toc15396601 \h </w:instrText>
        </w:r>
        <w:r>
          <w:fldChar w:fldCharType="separate"/>
        </w:r>
        <w:r>
          <w:t>13</w:t>
        </w:r>
        <w:r>
          <w:fldChar w:fldCharType="end"/>
        </w:r>
      </w:hyperlink>
    </w:p>
    <w:p w:rsidR="009F5036" w:rsidRDefault="00514D84">
      <w:pPr>
        <w:pStyle w:val="TOC1"/>
      </w:pPr>
      <w:hyperlink w:anchor="_Toc15396602" w:history="1">
        <w:r>
          <w:rPr>
            <w:rStyle w:val="a8"/>
            <w:rFonts w:hint="eastAsia"/>
            <w:color w:val="auto"/>
          </w:rPr>
          <w:t>第二部分</w:t>
        </w:r>
        <w:r>
          <w:rPr>
            <w:rStyle w:val="a8"/>
            <w:color w:val="auto"/>
          </w:rPr>
          <w:t xml:space="preserve"> 2018</w:t>
        </w:r>
        <w:r>
          <w:rPr>
            <w:rStyle w:val="a8"/>
            <w:rFonts w:hint="eastAsia"/>
            <w:color w:val="auto"/>
          </w:rPr>
          <w:t>年度部门决算情况说明</w:t>
        </w:r>
        <w:r>
          <w:tab/>
        </w:r>
        <w:r>
          <w:fldChar w:fldCharType="begin"/>
        </w:r>
        <w:r>
          <w:instrText xml:space="preserve"> PAGEREF _Toc15396602 \h </w:instrText>
        </w:r>
        <w:r>
          <w:fldChar w:fldCharType="separate"/>
        </w:r>
        <w:r>
          <w:t>14</w:t>
        </w:r>
        <w:r>
          <w:fldChar w:fldCharType="end"/>
        </w:r>
      </w:hyperlink>
    </w:p>
    <w:p w:rsidR="009F5036" w:rsidRDefault="00514D84">
      <w:pPr>
        <w:pStyle w:val="TOC2"/>
      </w:pPr>
      <w:hyperlink w:anchor="_Toc15396603" w:history="1">
        <w:r>
          <w:rPr>
            <w:rStyle w:val="a8"/>
            <w:rFonts w:hint="eastAsia"/>
            <w:bCs/>
            <w:color w:val="auto"/>
          </w:rPr>
          <w:t>一、</w:t>
        </w:r>
        <w:r>
          <w:rPr>
            <w:rStyle w:val="a8"/>
            <w:rFonts w:hint="eastAsia"/>
            <w:color w:val="auto"/>
          </w:rPr>
          <w:t>收</w:t>
        </w:r>
        <w:r>
          <w:rPr>
            <w:rStyle w:val="a8"/>
            <w:rFonts w:hint="eastAsia"/>
            <w:bCs/>
            <w:color w:val="auto"/>
          </w:rPr>
          <w:t>入支出决算总体情况说明</w:t>
        </w:r>
        <w:r>
          <w:tab/>
        </w:r>
        <w:r>
          <w:fldChar w:fldCharType="begin"/>
        </w:r>
        <w:r>
          <w:instrText xml:space="preserve"> PA</w:instrText>
        </w:r>
        <w:r>
          <w:instrText xml:space="preserve">GEREF _Toc15396603 \h </w:instrText>
        </w:r>
        <w:r>
          <w:fldChar w:fldCharType="separate"/>
        </w:r>
        <w:r>
          <w:t>14</w:t>
        </w:r>
        <w:r>
          <w:fldChar w:fldCharType="end"/>
        </w:r>
      </w:hyperlink>
    </w:p>
    <w:p w:rsidR="009F5036" w:rsidRDefault="00514D84">
      <w:pPr>
        <w:pStyle w:val="TOC2"/>
      </w:pPr>
      <w:hyperlink w:anchor="_Toc15396604" w:history="1">
        <w:r>
          <w:rPr>
            <w:rStyle w:val="a8"/>
            <w:rFonts w:hint="eastAsia"/>
            <w:bCs/>
            <w:color w:val="auto"/>
          </w:rPr>
          <w:t>二、</w:t>
        </w:r>
        <w:r>
          <w:rPr>
            <w:rStyle w:val="a8"/>
            <w:rFonts w:hint="eastAsia"/>
            <w:color w:val="auto"/>
          </w:rPr>
          <w:t>收</w:t>
        </w:r>
        <w:r>
          <w:rPr>
            <w:rStyle w:val="a8"/>
            <w:rFonts w:hint="eastAsia"/>
            <w:bCs/>
            <w:color w:val="auto"/>
          </w:rPr>
          <w:t>入决算情况说明</w:t>
        </w:r>
        <w:r>
          <w:tab/>
        </w:r>
        <w:r>
          <w:fldChar w:fldCharType="begin"/>
        </w:r>
        <w:r>
          <w:instrText xml:space="preserve"> PAGEREF _Toc15396604 \h </w:instrText>
        </w:r>
        <w:r>
          <w:fldChar w:fldCharType="separate"/>
        </w:r>
        <w:r>
          <w:t>14</w:t>
        </w:r>
        <w:r>
          <w:fldChar w:fldCharType="end"/>
        </w:r>
      </w:hyperlink>
    </w:p>
    <w:p w:rsidR="009F5036" w:rsidRDefault="00514D84">
      <w:pPr>
        <w:pStyle w:val="TOC2"/>
      </w:pPr>
      <w:hyperlink w:anchor="_Toc15396605" w:history="1">
        <w:r>
          <w:rPr>
            <w:rStyle w:val="a8"/>
            <w:rFonts w:hint="eastAsia"/>
            <w:bCs/>
            <w:color w:val="auto"/>
          </w:rPr>
          <w:t>三、</w:t>
        </w:r>
        <w:r>
          <w:rPr>
            <w:rStyle w:val="a8"/>
            <w:rFonts w:hint="eastAsia"/>
            <w:color w:val="auto"/>
          </w:rPr>
          <w:t>支</w:t>
        </w:r>
        <w:r>
          <w:rPr>
            <w:rStyle w:val="a8"/>
            <w:rFonts w:hint="eastAsia"/>
            <w:bCs/>
            <w:color w:val="auto"/>
          </w:rPr>
          <w:t>出决算情况说明</w:t>
        </w:r>
        <w:r>
          <w:tab/>
        </w:r>
        <w:r>
          <w:fldChar w:fldCharType="begin"/>
        </w:r>
        <w:r>
          <w:instrText xml:space="preserve"> PAGEREF _Toc15396605 \h </w:instrText>
        </w:r>
        <w:r>
          <w:fldChar w:fldCharType="separate"/>
        </w:r>
        <w:r>
          <w:t>15</w:t>
        </w:r>
        <w:r>
          <w:fldChar w:fldCharType="end"/>
        </w:r>
      </w:hyperlink>
    </w:p>
    <w:p w:rsidR="009F5036" w:rsidRDefault="00514D84">
      <w:pPr>
        <w:pStyle w:val="TOC2"/>
      </w:pPr>
      <w:hyperlink w:anchor="_Toc15396606" w:history="1">
        <w:r>
          <w:rPr>
            <w:rStyle w:val="a8"/>
            <w:rFonts w:hint="eastAsia"/>
            <w:color w:val="auto"/>
          </w:rPr>
          <w:t>四、财</w:t>
        </w:r>
        <w:r>
          <w:rPr>
            <w:rStyle w:val="a8"/>
            <w:rFonts w:hint="eastAsia"/>
            <w:bCs/>
            <w:color w:val="auto"/>
          </w:rPr>
          <w:t>政拨款收入支出决算总体情况说明</w:t>
        </w:r>
        <w:r>
          <w:tab/>
        </w:r>
        <w:r>
          <w:fldChar w:fldCharType="begin"/>
        </w:r>
        <w:r>
          <w:instrText xml:space="preserve"> PAGEREF _Toc15396606 \h </w:instrText>
        </w:r>
        <w:r>
          <w:fldChar w:fldCharType="separate"/>
        </w:r>
        <w:r>
          <w:t>15</w:t>
        </w:r>
        <w:r>
          <w:fldChar w:fldCharType="end"/>
        </w:r>
      </w:hyperlink>
    </w:p>
    <w:p w:rsidR="009F5036" w:rsidRDefault="00514D84">
      <w:pPr>
        <w:pStyle w:val="TOC2"/>
      </w:pPr>
      <w:hyperlink w:anchor="_Toc15396607" w:history="1">
        <w:r>
          <w:rPr>
            <w:rStyle w:val="a8"/>
            <w:rFonts w:hint="eastAsia"/>
            <w:color w:val="auto"/>
          </w:rPr>
          <w:t>五、一</w:t>
        </w:r>
        <w:r>
          <w:rPr>
            <w:rStyle w:val="a8"/>
            <w:rFonts w:hint="eastAsia"/>
            <w:bCs/>
            <w:color w:val="auto"/>
          </w:rPr>
          <w:t>般公共预算财政拨款支出决算情况说明</w:t>
        </w:r>
        <w:r>
          <w:tab/>
        </w:r>
        <w:r>
          <w:fldChar w:fldCharType="begin"/>
        </w:r>
        <w:r>
          <w:instrText xml:space="preserve"> PAGEREF _Toc15396607 \h </w:instrText>
        </w:r>
        <w:r>
          <w:fldChar w:fldCharType="separate"/>
        </w:r>
        <w:r>
          <w:t>16</w:t>
        </w:r>
        <w:r>
          <w:fldChar w:fldCharType="end"/>
        </w:r>
      </w:hyperlink>
    </w:p>
    <w:p w:rsidR="009F5036" w:rsidRDefault="00514D84">
      <w:pPr>
        <w:pStyle w:val="TOC2"/>
      </w:pPr>
      <w:hyperlink w:anchor="_Toc15396608" w:history="1">
        <w:r>
          <w:rPr>
            <w:rStyle w:val="a8"/>
            <w:rFonts w:hint="eastAsia"/>
            <w:color w:val="auto"/>
          </w:rPr>
          <w:t>六、一</w:t>
        </w:r>
        <w:r>
          <w:rPr>
            <w:rStyle w:val="a8"/>
            <w:rFonts w:hint="eastAsia"/>
            <w:bCs/>
            <w:color w:val="auto"/>
          </w:rPr>
          <w:t>般公共预算财政拨款基本支出决算情况说明</w:t>
        </w:r>
        <w:r>
          <w:tab/>
        </w:r>
        <w:r>
          <w:fldChar w:fldCharType="begin"/>
        </w:r>
        <w:r>
          <w:instrText xml:space="preserve"> PAGEREF _Toc15396608 \h </w:instrText>
        </w:r>
        <w:r>
          <w:fldChar w:fldCharType="separate"/>
        </w:r>
        <w:r>
          <w:t>19</w:t>
        </w:r>
        <w:r>
          <w:fldChar w:fldCharType="end"/>
        </w:r>
      </w:hyperlink>
    </w:p>
    <w:p w:rsidR="009F5036" w:rsidRDefault="00514D84">
      <w:pPr>
        <w:pStyle w:val="TOC2"/>
      </w:pPr>
      <w:hyperlink w:anchor="_Toc15396609" w:history="1">
        <w:r>
          <w:rPr>
            <w:rStyle w:val="a8"/>
            <w:rFonts w:hint="eastAsia"/>
            <w:color w:val="auto"/>
          </w:rPr>
          <w:t>七、</w:t>
        </w:r>
        <w:r>
          <w:rPr>
            <w:rStyle w:val="a8"/>
            <w:color w:val="auto"/>
          </w:rPr>
          <w:t>“</w:t>
        </w:r>
        <w:r>
          <w:rPr>
            <w:rStyle w:val="a8"/>
            <w:rFonts w:hint="eastAsia"/>
            <w:bCs/>
            <w:color w:val="auto"/>
          </w:rPr>
          <w:t>三公”经费财政拨款支出</w:t>
        </w:r>
        <w:r>
          <w:rPr>
            <w:rStyle w:val="a8"/>
            <w:rFonts w:hint="eastAsia"/>
            <w:bCs/>
            <w:color w:val="auto"/>
          </w:rPr>
          <w:t>决算情况说明</w:t>
        </w:r>
        <w:r>
          <w:tab/>
        </w:r>
        <w:r>
          <w:fldChar w:fldCharType="begin"/>
        </w:r>
        <w:r>
          <w:instrText xml:space="preserve"> PAGEREF _Toc15396609 \h </w:instrText>
        </w:r>
        <w:r>
          <w:fldChar w:fldCharType="separate"/>
        </w:r>
        <w:r>
          <w:t>20</w:t>
        </w:r>
        <w:r>
          <w:fldChar w:fldCharType="end"/>
        </w:r>
      </w:hyperlink>
    </w:p>
    <w:p w:rsidR="009F5036" w:rsidRDefault="00514D84">
      <w:pPr>
        <w:pStyle w:val="TOC2"/>
      </w:pPr>
      <w:hyperlink w:anchor="_Toc15396610" w:history="1">
        <w:r>
          <w:rPr>
            <w:rStyle w:val="a8"/>
            <w:rFonts w:hint="eastAsia"/>
            <w:color w:val="auto"/>
          </w:rPr>
          <w:t>八、</w:t>
        </w:r>
        <w:r>
          <w:rPr>
            <w:rStyle w:val="a8"/>
            <w:rFonts w:hint="eastAsia"/>
            <w:bCs/>
            <w:color w:val="auto"/>
          </w:rPr>
          <w:t>政府性基金预算支出决算情况说明</w:t>
        </w:r>
        <w:r>
          <w:tab/>
        </w:r>
        <w:r>
          <w:fldChar w:fldCharType="begin"/>
        </w:r>
        <w:r>
          <w:instrText xml:space="preserve"> PAGEREF _Toc15396610 \h </w:instrText>
        </w:r>
        <w:r>
          <w:fldChar w:fldCharType="separate"/>
        </w:r>
        <w:r>
          <w:t>20</w:t>
        </w:r>
        <w:r>
          <w:fldChar w:fldCharType="end"/>
        </w:r>
      </w:hyperlink>
    </w:p>
    <w:p w:rsidR="009F5036" w:rsidRDefault="00514D84">
      <w:pPr>
        <w:pStyle w:val="TOC2"/>
      </w:pPr>
      <w:hyperlink w:anchor="_Toc15396611" w:history="1">
        <w:r>
          <w:rPr>
            <w:rStyle w:val="a8"/>
            <w:rFonts w:hint="eastAsia"/>
            <w:bCs/>
            <w:color w:val="auto"/>
          </w:rPr>
          <w:t>九、</w:t>
        </w:r>
        <w:r>
          <w:rPr>
            <w:rStyle w:val="a8"/>
            <w:rFonts w:hint="eastAsia"/>
            <w:color w:val="auto"/>
          </w:rPr>
          <w:t xml:space="preserve"> </w:t>
        </w:r>
        <w:r>
          <w:rPr>
            <w:rStyle w:val="a8"/>
            <w:rFonts w:hint="eastAsia"/>
            <w:color w:val="auto"/>
          </w:rPr>
          <w:t>国</w:t>
        </w:r>
        <w:r>
          <w:rPr>
            <w:rStyle w:val="a8"/>
            <w:rFonts w:hint="eastAsia"/>
            <w:bCs/>
            <w:color w:val="auto"/>
          </w:rPr>
          <w:t>有资本经营预算支出决算情况说明</w:t>
        </w:r>
        <w:r>
          <w:tab/>
        </w:r>
        <w:r>
          <w:fldChar w:fldCharType="begin"/>
        </w:r>
        <w:r>
          <w:instrText xml:space="preserve"> PAGEREF _Toc15396611 \h </w:instrText>
        </w:r>
        <w:r>
          <w:fldChar w:fldCharType="separate"/>
        </w:r>
        <w:r>
          <w:t>20</w:t>
        </w:r>
        <w:r>
          <w:fldChar w:fldCharType="end"/>
        </w:r>
      </w:hyperlink>
    </w:p>
    <w:p w:rsidR="009F5036" w:rsidRDefault="00514D84">
      <w:pPr>
        <w:pStyle w:val="TOC2"/>
        <w:rPr>
          <w:rStyle w:val="a8"/>
          <w:bCs/>
          <w:color w:val="auto"/>
          <w:u w:val="none"/>
        </w:rPr>
      </w:pPr>
      <w:r>
        <w:rPr>
          <w:rStyle w:val="a8"/>
          <w:rFonts w:hint="eastAsia"/>
          <w:bCs/>
          <w:color w:val="auto"/>
          <w:u w:val="none"/>
        </w:rPr>
        <w:t>十、预算绩效情况说明</w:t>
      </w:r>
      <w:r>
        <w:rPr>
          <w:rStyle w:val="a8"/>
          <w:bCs/>
          <w:color w:val="auto"/>
          <w:u w:val="none"/>
        </w:rPr>
        <w:tab/>
      </w:r>
      <w:r>
        <w:rPr>
          <w:rStyle w:val="a8"/>
          <w:rFonts w:hint="eastAsia"/>
          <w:bCs/>
          <w:color w:val="auto"/>
          <w:u w:val="none"/>
        </w:rPr>
        <w:t>.11</w:t>
      </w:r>
    </w:p>
    <w:p w:rsidR="009F5036" w:rsidRDefault="00514D84">
      <w:pPr>
        <w:pStyle w:val="TOC2"/>
      </w:pPr>
      <w:hyperlink w:anchor="_Toc15396612" w:history="1">
        <w:r>
          <w:rPr>
            <w:rStyle w:val="a8"/>
            <w:rFonts w:hint="eastAsia"/>
            <w:color w:val="auto"/>
          </w:rPr>
          <w:t>十</w:t>
        </w:r>
        <w:r>
          <w:rPr>
            <w:rStyle w:val="a8"/>
            <w:rFonts w:hint="eastAsia"/>
            <w:bCs/>
            <w:color w:val="auto"/>
          </w:rPr>
          <w:t>一、其他重要事项的情况说明</w:t>
        </w:r>
        <w:r>
          <w:tab/>
        </w:r>
        <w:r>
          <w:fldChar w:fldCharType="begin"/>
        </w:r>
        <w:r>
          <w:instrText xml:space="preserve"> PAGEREF _Toc15396612 \h </w:instrText>
        </w:r>
        <w:r>
          <w:fldChar w:fldCharType="separate"/>
        </w:r>
        <w:r>
          <w:t>27</w:t>
        </w:r>
        <w:r>
          <w:fldChar w:fldCharType="end"/>
        </w:r>
      </w:hyperlink>
    </w:p>
    <w:p w:rsidR="009F5036" w:rsidRDefault="00514D84">
      <w:pPr>
        <w:pStyle w:val="TOC1"/>
      </w:pPr>
      <w:hyperlink w:anchor="_Toc15396613" w:history="1">
        <w:r>
          <w:rPr>
            <w:rStyle w:val="a8"/>
            <w:rFonts w:hint="eastAsia"/>
            <w:bCs/>
            <w:color w:val="auto"/>
            <w:kern w:val="44"/>
          </w:rPr>
          <w:t>第三部分</w:t>
        </w:r>
        <w:r>
          <w:rPr>
            <w:rStyle w:val="a8"/>
            <w:rFonts w:hint="eastAsia"/>
            <w:color w:val="auto"/>
          </w:rPr>
          <w:t xml:space="preserve"> </w:t>
        </w:r>
        <w:r>
          <w:rPr>
            <w:rStyle w:val="a8"/>
            <w:rFonts w:hint="eastAsia"/>
            <w:color w:val="auto"/>
          </w:rPr>
          <w:t>名</w:t>
        </w:r>
        <w:r>
          <w:rPr>
            <w:rStyle w:val="a8"/>
            <w:rFonts w:hint="eastAsia"/>
            <w:bCs/>
            <w:color w:val="auto"/>
            <w:kern w:val="44"/>
          </w:rPr>
          <w:t>词解释</w:t>
        </w:r>
        <w:r>
          <w:tab/>
        </w:r>
        <w:r>
          <w:fldChar w:fldCharType="begin"/>
        </w:r>
        <w:r>
          <w:instrText xml:space="preserve"> PAGEREF _Toc15396613 \h </w:instrText>
        </w:r>
        <w:r>
          <w:fldChar w:fldCharType="separate"/>
        </w:r>
        <w:r>
          <w:t>28</w:t>
        </w:r>
        <w:r>
          <w:fldChar w:fldCharType="end"/>
        </w:r>
      </w:hyperlink>
    </w:p>
    <w:p w:rsidR="009F5036" w:rsidRDefault="00514D84">
      <w:pPr>
        <w:pStyle w:val="TOC1"/>
      </w:pPr>
      <w:hyperlink w:anchor="_Toc15396614" w:history="1">
        <w:r>
          <w:rPr>
            <w:rStyle w:val="a8"/>
            <w:rFonts w:hint="eastAsia"/>
            <w:color w:val="auto"/>
          </w:rPr>
          <w:t>第</w:t>
        </w:r>
        <w:r>
          <w:rPr>
            <w:rStyle w:val="a8"/>
            <w:rFonts w:hint="eastAsia"/>
            <w:bCs/>
            <w:color w:val="auto"/>
            <w:kern w:val="44"/>
          </w:rPr>
          <w:t>四部分附件</w:t>
        </w:r>
        <w:r>
          <w:tab/>
        </w:r>
        <w:r>
          <w:fldChar w:fldCharType="begin"/>
        </w:r>
        <w:r>
          <w:instrText xml:space="preserve"> PAGEREF _Toc15396614 \h </w:instrText>
        </w:r>
        <w:r>
          <w:fldChar w:fldCharType="separate"/>
        </w:r>
        <w:r>
          <w:t>32</w:t>
        </w:r>
        <w:r>
          <w:fldChar w:fldCharType="end"/>
        </w:r>
      </w:hyperlink>
    </w:p>
    <w:p w:rsidR="009F5036" w:rsidRDefault="00514D84">
      <w:pPr>
        <w:pStyle w:val="TOC2"/>
      </w:pPr>
      <w:hyperlink w:anchor="_Toc15396615" w:history="1">
        <w:r>
          <w:rPr>
            <w:rStyle w:val="a8"/>
            <w:rFonts w:hint="eastAsia"/>
            <w:color w:val="auto"/>
            <w:kern w:val="44"/>
          </w:rPr>
          <w:t>附件</w:t>
        </w:r>
        <w:r>
          <w:rPr>
            <w:rStyle w:val="a8"/>
            <w:color w:val="auto"/>
            <w:kern w:val="44"/>
          </w:rPr>
          <w:t>1</w:t>
        </w:r>
        <w:r>
          <w:tab/>
        </w:r>
        <w:r>
          <w:fldChar w:fldCharType="begin"/>
        </w:r>
        <w:r>
          <w:instrText xml:space="preserve"> PAGEREF _Toc15396615 \h </w:instrText>
        </w:r>
        <w:r>
          <w:fldChar w:fldCharType="separate"/>
        </w:r>
        <w:r>
          <w:t>32</w:t>
        </w:r>
        <w:r>
          <w:fldChar w:fldCharType="end"/>
        </w:r>
      </w:hyperlink>
    </w:p>
    <w:p w:rsidR="009F5036" w:rsidRDefault="00514D84">
      <w:pPr>
        <w:pStyle w:val="TOC2"/>
      </w:pPr>
      <w:hyperlink w:anchor="_Toc15396617" w:history="1">
        <w:r>
          <w:rPr>
            <w:rStyle w:val="a8"/>
            <w:rFonts w:hint="eastAsia"/>
            <w:color w:val="auto"/>
            <w:kern w:val="44"/>
          </w:rPr>
          <w:t>附件</w:t>
        </w:r>
        <w:r>
          <w:rPr>
            <w:rStyle w:val="a8"/>
            <w:color w:val="auto"/>
            <w:kern w:val="44"/>
          </w:rPr>
          <w:t>2</w:t>
        </w:r>
        <w:r>
          <w:tab/>
        </w:r>
        <w:r>
          <w:fldChar w:fldCharType="begin"/>
        </w:r>
        <w:r>
          <w:instrText xml:space="preserve"> PAGEREF _Toc15396617 \h </w:instrText>
        </w:r>
        <w:r>
          <w:fldChar w:fldCharType="separate"/>
        </w:r>
        <w:r>
          <w:t>35</w:t>
        </w:r>
        <w:r>
          <w:fldChar w:fldCharType="end"/>
        </w:r>
      </w:hyperlink>
    </w:p>
    <w:p w:rsidR="009F5036" w:rsidRDefault="00514D84">
      <w:pPr>
        <w:pStyle w:val="TOC1"/>
      </w:pPr>
      <w:hyperlink w:anchor="_Toc15396618" w:history="1">
        <w:r>
          <w:rPr>
            <w:rStyle w:val="a8"/>
            <w:rFonts w:hint="eastAsia"/>
            <w:color w:val="auto"/>
          </w:rPr>
          <w:t>第</w:t>
        </w:r>
        <w:r>
          <w:rPr>
            <w:rStyle w:val="a8"/>
            <w:rFonts w:hint="eastAsia"/>
            <w:bCs/>
            <w:color w:val="auto"/>
            <w:kern w:val="44"/>
          </w:rPr>
          <w:t>五部分</w:t>
        </w:r>
        <w:r>
          <w:rPr>
            <w:rStyle w:val="a8"/>
            <w:rFonts w:hint="eastAsia"/>
            <w:bCs/>
            <w:color w:val="auto"/>
            <w:kern w:val="44"/>
          </w:rPr>
          <w:t>附表</w:t>
        </w:r>
        <w:r>
          <w:tab/>
        </w:r>
        <w:r>
          <w:fldChar w:fldCharType="begin"/>
        </w:r>
        <w:r>
          <w:instrText xml:space="preserve"> PAGEREF _Toc15396618 \h </w:instrText>
        </w:r>
        <w:r>
          <w:fldChar w:fldCharType="separate"/>
        </w:r>
        <w:r>
          <w:t>40</w:t>
        </w:r>
        <w:r>
          <w:fldChar w:fldCharType="end"/>
        </w:r>
      </w:hyperlink>
    </w:p>
    <w:p w:rsidR="009F5036" w:rsidRDefault="00514D84">
      <w:pPr>
        <w:pStyle w:val="TOC2"/>
      </w:pPr>
      <w:r>
        <w:rPr>
          <w:rFonts w:hint="eastAsia"/>
        </w:rPr>
        <w:t>一、</w:t>
      </w:r>
      <w:hyperlink w:anchor="_Toc15396619" w:history="1">
        <w:r>
          <w:rPr>
            <w:rStyle w:val="a8"/>
            <w:rFonts w:hint="eastAsia"/>
            <w:color w:val="auto"/>
          </w:rPr>
          <w:t>收入支出决算总表</w:t>
        </w:r>
        <w:r>
          <w:tab/>
        </w:r>
        <w:r>
          <w:fldChar w:fldCharType="begin"/>
        </w:r>
        <w:r>
          <w:instrText xml:space="preserve"> PAGEREF _Toc15396619 \h </w:instrText>
        </w:r>
        <w:r>
          <w:fldChar w:fldCharType="separate"/>
        </w:r>
        <w:r>
          <w:t>40</w:t>
        </w:r>
        <w:r>
          <w:fldChar w:fldCharType="end"/>
        </w:r>
      </w:hyperlink>
    </w:p>
    <w:p w:rsidR="009F5036" w:rsidRDefault="00514D84">
      <w:pPr>
        <w:pStyle w:val="TOC2"/>
      </w:pPr>
      <w:r>
        <w:rPr>
          <w:rFonts w:hint="eastAsia"/>
        </w:rPr>
        <w:t>二、</w:t>
      </w:r>
      <w:hyperlink w:anchor="_Toc15396620" w:history="1">
        <w:r>
          <w:rPr>
            <w:rStyle w:val="a8"/>
            <w:rFonts w:hint="eastAsia"/>
            <w:color w:val="auto"/>
          </w:rPr>
          <w:t>收入总表</w:t>
        </w:r>
        <w:r>
          <w:tab/>
        </w:r>
        <w:r>
          <w:fldChar w:fldCharType="begin"/>
        </w:r>
        <w:r>
          <w:instrText xml:space="preserve"> PAGEREF _Toc15396620 \h </w:instrText>
        </w:r>
        <w:r>
          <w:fldChar w:fldCharType="separate"/>
        </w:r>
        <w:r>
          <w:t>40</w:t>
        </w:r>
        <w:r>
          <w:fldChar w:fldCharType="end"/>
        </w:r>
      </w:hyperlink>
    </w:p>
    <w:p w:rsidR="009F5036" w:rsidRDefault="00514D84">
      <w:pPr>
        <w:pStyle w:val="TOC2"/>
      </w:pPr>
      <w:r>
        <w:rPr>
          <w:rFonts w:hint="eastAsia"/>
        </w:rPr>
        <w:t>三、</w:t>
      </w:r>
      <w:hyperlink w:anchor="_Toc15396621" w:history="1">
        <w:r>
          <w:rPr>
            <w:rStyle w:val="a8"/>
            <w:rFonts w:hint="eastAsia"/>
            <w:color w:val="auto"/>
          </w:rPr>
          <w:t>支出总表</w:t>
        </w:r>
        <w:r>
          <w:tab/>
        </w:r>
        <w:r>
          <w:fldChar w:fldCharType="begin"/>
        </w:r>
        <w:r>
          <w:instrText xml:space="preserve"> PAGEREF _Toc15396621 \h </w:instrText>
        </w:r>
        <w:r>
          <w:fldChar w:fldCharType="separate"/>
        </w:r>
        <w:r>
          <w:t>40</w:t>
        </w:r>
        <w:r>
          <w:fldChar w:fldCharType="end"/>
        </w:r>
      </w:hyperlink>
    </w:p>
    <w:p w:rsidR="009F5036" w:rsidRDefault="00514D84">
      <w:pPr>
        <w:pStyle w:val="TOC2"/>
      </w:pPr>
      <w:r>
        <w:rPr>
          <w:rFonts w:hint="eastAsia"/>
        </w:rPr>
        <w:t>四、</w:t>
      </w:r>
      <w:hyperlink w:anchor="_Toc15396622" w:history="1">
        <w:r>
          <w:rPr>
            <w:rStyle w:val="a8"/>
            <w:rFonts w:hint="eastAsia"/>
            <w:color w:val="auto"/>
          </w:rPr>
          <w:t>财政拨款收入支出决算总表</w:t>
        </w:r>
        <w:r>
          <w:tab/>
        </w:r>
        <w:r>
          <w:fldChar w:fldCharType="begin"/>
        </w:r>
        <w:r>
          <w:instrText xml:space="preserve"> PAGEREF _Toc15396622 \h </w:instrText>
        </w:r>
        <w:r>
          <w:fldChar w:fldCharType="separate"/>
        </w:r>
        <w:r>
          <w:t>40</w:t>
        </w:r>
        <w:r>
          <w:fldChar w:fldCharType="end"/>
        </w:r>
      </w:hyperlink>
    </w:p>
    <w:p w:rsidR="009F5036" w:rsidRDefault="00514D84">
      <w:pPr>
        <w:pStyle w:val="TOC2"/>
      </w:pPr>
      <w:r>
        <w:rPr>
          <w:rFonts w:hint="eastAsia"/>
        </w:rPr>
        <w:t>五、</w:t>
      </w:r>
      <w:hyperlink w:anchor="_Toc15396623" w:history="1">
        <w:r>
          <w:rPr>
            <w:rFonts w:hint="eastAsia"/>
          </w:rPr>
          <w:t>财政拨款支出决算明细表（政府经济分类科目</w:t>
        </w:r>
        <w:r>
          <w:rPr>
            <w:rFonts w:hint="eastAsia"/>
          </w:rPr>
          <w:t>）</w:t>
        </w:r>
        <w:r>
          <w:tab/>
        </w:r>
        <w:r>
          <w:fldChar w:fldCharType="begin"/>
        </w:r>
        <w:r>
          <w:instrText xml:space="preserve"> PAGEREF _Toc15396623 \h </w:instrText>
        </w:r>
        <w:r>
          <w:fldChar w:fldCharType="separate"/>
        </w:r>
        <w:r>
          <w:t>40</w:t>
        </w:r>
        <w:r>
          <w:fldChar w:fldCharType="end"/>
        </w:r>
      </w:hyperlink>
    </w:p>
    <w:p w:rsidR="009F5036" w:rsidRDefault="00514D84">
      <w:pPr>
        <w:pStyle w:val="TOC2"/>
      </w:pPr>
      <w:r>
        <w:rPr>
          <w:rFonts w:hint="eastAsia"/>
        </w:rPr>
        <w:t>六、</w:t>
      </w:r>
      <w:hyperlink w:anchor="_Toc15396624" w:history="1">
        <w:r>
          <w:rPr>
            <w:rStyle w:val="a8"/>
            <w:rFonts w:hint="eastAsia"/>
            <w:color w:val="auto"/>
          </w:rPr>
          <w:t>一般公共预算财政拨款支出决算表</w:t>
        </w:r>
        <w:r>
          <w:tab/>
        </w:r>
        <w:r>
          <w:fldChar w:fldCharType="begin"/>
        </w:r>
        <w:r>
          <w:instrText xml:space="preserve"> PAGEREF _Toc15396624 \h </w:instrText>
        </w:r>
        <w:r>
          <w:fldChar w:fldCharType="separate"/>
        </w:r>
        <w:r>
          <w:t>40</w:t>
        </w:r>
        <w:r>
          <w:fldChar w:fldCharType="end"/>
        </w:r>
      </w:hyperlink>
    </w:p>
    <w:p w:rsidR="009F5036" w:rsidRDefault="00514D84">
      <w:pPr>
        <w:pStyle w:val="TOC2"/>
      </w:pPr>
      <w:r>
        <w:rPr>
          <w:rFonts w:hint="eastAsia"/>
        </w:rPr>
        <w:t>七、</w:t>
      </w:r>
      <w:hyperlink w:anchor="_Toc15396625" w:history="1">
        <w:r>
          <w:rPr>
            <w:rStyle w:val="a8"/>
            <w:rFonts w:hint="eastAsia"/>
            <w:color w:val="auto"/>
          </w:rPr>
          <w:t>一般公共预算财政拨款支出决算明细表</w:t>
        </w:r>
        <w:r>
          <w:tab/>
        </w:r>
        <w:r>
          <w:fldChar w:fldCharType="begin"/>
        </w:r>
        <w:r>
          <w:instrText xml:space="preserve"> PAGEREF _Toc15396625 \h </w:instrText>
        </w:r>
        <w:r>
          <w:fldChar w:fldCharType="separate"/>
        </w:r>
        <w:r>
          <w:t>40</w:t>
        </w:r>
        <w:r>
          <w:fldChar w:fldCharType="end"/>
        </w:r>
      </w:hyperlink>
    </w:p>
    <w:p w:rsidR="009F5036" w:rsidRDefault="00514D84">
      <w:pPr>
        <w:pStyle w:val="TOC2"/>
      </w:pPr>
      <w:r>
        <w:rPr>
          <w:rFonts w:hint="eastAsia"/>
        </w:rPr>
        <w:t>八、</w:t>
      </w:r>
      <w:hyperlink w:anchor="_Toc15396626" w:history="1">
        <w:r>
          <w:rPr>
            <w:rStyle w:val="a8"/>
            <w:rFonts w:hint="eastAsia"/>
            <w:color w:val="auto"/>
          </w:rPr>
          <w:t>一般公共预算财政拨款基本支出决算表</w:t>
        </w:r>
        <w:r>
          <w:tab/>
        </w:r>
        <w:r>
          <w:fldChar w:fldCharType="begin"/>
        </w:r>
        <w:r>
          <w:instrText xml:space="preserve"> PAGEREF _Toc15396626 \h </w:instrText>
        </w:r>
        <w:r>
          <w:fldChar w:fldCharType="separate"/>
        </w:r>
        <w:r>
          <w:t>40</w:t>
        </w:r>
        <w:r>
          <w:fldChar w:fldCharType="end"/>
        </w:r>
      </w:hyperlink>
    </w:p>
    <w:p w:rsidR="009F5036" w:rsidRDefault="00514D84">
      <w:pPr>
        <w:pStyle w:val="TOC2"/>
      </w:pPr>
      <w:r>
        <w:rPr>
          <w:rFonts w:hint="eastAsia"/>
        </w:rPr>
        <w:t>九、</w:t>
      </w:r>
      <w:hyperlink w:anchor="_Toc15396627" w:history="1">
        <w:r>
          <w:rPr>
            <w:rStyle w:val="a8"/>
            <w:rFonts w:hint="eastAsia"/>
            <w:color w:val="auto"/>
          </w:rPr>
          <w:t>一般公共预算财政拨款项目支出决算表</w:t>
        </w:r>
        <w:r>
          <w:tab/>
        </w:r>
        <w:r>
          <w:fldChar w:fldCharType="begin"/>
        </w:r>
        <w:r>
          <w:instrText xml:space="preserve"> PAGEREF _Toc15396627 \h </w:instrText>
        </w:r>
        <w:r>
          <w:fldChar w:fldCharType="separate"/>
        </w:r>
        <w:r>
          <w:t>40</w:t>
        </w:r>
        <w:r>
          <w:fldChar w:fldCharType="end"/>
        </w:r>
      </w:hyperlink>
    </w:p>
    <w:p w:rsidR="009F5036" w:rsidRDefault="00514D84">
      <w:pPr>
        <w:pStyle w:val="TOC2"/>
      </w:pPr>
      <w:r>
        <w:rPr>
          <w:rFonts w:hint="eastAsia"/>
        </w:rPr>
        <w:t>十、</w:t>
      </w:r>
      <w:hyperlink w:anchor="_Toc15396628" w:history="1">
        <w:r>
          <w:rPr>
            <w:rStyle w:val="a8"/>
            <w:rFonts w:hint="eastAsia"/>
            <w:color w:val="auto"/>
          </w:rPr>
          <w:t>一般公共预算财政拨款“三公”经费支出决算表</w:t>
        </w:r>
        <w:r>
          <w:tab/>
        </w:r>
        <w:r>
          <w:fldChar w:fldCharType="begin"/>
        </w:r>
        <w:r>
          <w:instrText xml:space="preserve"> PAGEREF _Toc15396628 \h </w:instrText>
        </w:r>
        <w:r>
          <w:fldChar w:fldCharType="separate"/>
        </w:r>
        <w:r>
          <w:t>40</w:t>
        </w:r>
        <w:r>
          <w:fldChar w:fldCharType="end"/>
        </w:r>
      </w:hyperlink>
    </w:p>
    <w:p w:rsidR="009F5036" w:rsidRDefault="00514D84">
      <w:pPr>
        <w:pStyle w:val="TOC2"/>
      </w:pPr>
      <w:r>
        <w:rPr>
          <w:rFonts w:hint="eastAsia"/>
        </w:rPr>
        <w:t>十一、</w:t>
      </w:r>
      <w:hyperlink w:anchor="_Toc15396629" w:history="1">
        <w:r>
          <w:rPr>
            <w:rStyle w:val="a8"/>
            <w:rFonts w:hint="eastAsia"/>
            <w:color w:val="auto"/>
          </w:rPr>
          <w:t>政府性基金预算财政拨款收入支出决算表</w:t>
        </w:r>
        <w:r>
          <w:tab/>
        </w:r>
        <w:r>
          <w:fldChar w:fldCharType="begin"/>
        </w:r>
        <w:r>
          <w:instrText xml:space="preserve"> PAGEREF _Toc15396629 \h </w:instrText>
        </w:r>
        <w:r>
          <w:fldChar w:fldCharType="separate"/>
        </w:r>
        <w:r>
          <w:t>40</w:t>
        </w:r>
        <w:r>
          <w:fldChar w:fldCharType="end"/>
        </w:r>
      </w:hyperlink>
    </w:p>
    <w:p w:rsidR="009F5036" w:rsidRDefault="00514D84">
      <w:pPr>
        <w:pStyle w:val="TOC2"/>
      </w:pPr>
      <w:r>
        <w:rPr>
          <w:rFonts w:hint="eastAsia"/>
        </w:rPr>
        <w:t>十二、</w:t>
      </w:r>
      <w:hyperlink w:anchor="_Toc15396630" w:history="1">
        <w:r>
          <w:rPr>
            <w:rStyle w:val="a8"/>
            <w:rFonts w:hint="eastAsia"/>
            <w:color w:val="auto"/>
          </w:rPr>
          <w:t>政府性基金预算财政拨款“三公”经费支出决算表</w:t>
        </w:r>
        <w:r>
          <w:tab/>
        </w:r>
        <w:r>
          <w:fldChar w:fldCharType="begin"/>
        </w:r>
        <w:r>
          <w:instrText xml:space="preserve"> PAGEREF _Toc15396630 \h </w:instrText>
        </w:r>
        <w:r>
          <w:fldChar w:fldCharType="separate"/>
        </w:r>
        <w:r>
          <w:t>40</w:t>
        </w:r>
        <w:r>
          <w:fldChar w:fldCharType="end"/>
        </w:r>
      </w:hyperlink>
    </w:p>
    <w:p w:rsidR="009F5036" w:rsidRDefault="00514D84">
      <w:pPr>
        <w:pStyle w:val="TOC2"/>
        <w:rPr>
          <w:sz w:val="24"/>
        </w:rPr>
      </w:pPr>
      <w:r>
        <w:rPr>
          <w:rFonts w:hint="eastAsia"/>
        </w:rPr>
        <w:t>十三、</w:t>
      </w:r>
      <w:hyperlink w:anchor="_Toc15396631" w:history="1">
        <w:r>
          <w:rPr>
            <w:rStyle w:val="a8"/>
            <w:rFonts w:hint="eastAsia"/>
            <w:color w:val="auto"/>
          </w:rPr>
          <w:t>国有资本经营预算支</w:t>
        </w:r>
        <w:r>
          <w:rPr>
            <w:rStyle w:val="a8"/>
            <w:rFonts w:hint="eastAsia"/>
            <w:color w:val="auto"/>
          </w:rPr>
          <w:t>出决算表</w:t>
        </w:r>
        <w:r>
          <w:tab/>
        </w:r>
        <w:r>
          <w:fldChar w:fldCharType="begin"/>
        </w:r>
        <w:r>
          <w:instrText xml:space="preserve"> PAGEREF _Toc15396631 \h </w:instrText>
        </w:r>
        <w:r>
          <w:fldChar w:fldCharType="separate"/>
        </w:r>
        <w:r>
          <w:t>40</w:t>
        </w:r>
        <w:r>
          <w:fldChar w:fldCharType="end"/>
        </w:r>
      </w:hyperlink>
    </w:p>
    <w:p w:rsidR="009F5036" w:rsidRDefault="00514D84">
      <w:pPr>
        <w:widowControl/>
        <w:jc w:val="left"/>
        <w:rPr>
          <w:rFonts w:ascii="仿宋" w:eastAsia="仿宋" w:hAnsi="仿宋"/>
          <w:color w:val="0000FF"/>
          <w:sz w:val="24"/>
        </w:rPr>
      </w:pPr>
      <w:r>
        <w:rPr>
          <w:rFonts w:ascii="仿宋" w:eastAsia="仿宋" w:hAnsi="仿宋"/>
          <w:sz w:val="24"/>
        </w:rPr>
        <w:fldChar w:fldCharType="end"/>
      </w:r>
    </w:p>
    <w:p w:rsidR="009F5036" w:rsidRDefault="00514D84">
      <w:pPr>
        <w:widowControl/>
        <w:jc w:val="left"/>
        <w:rPr>
          <w:rFonts w:ascii="黑体" w:eastAsia="黑体" w:hAnsi="黑体"/>
          <w:bCs/>
          <w:color w:val="0000FF"/>
          <w:kern w:val="44"/>
          <w:sz w:val="44"/>
          <w:szCs w:val="44"/>
        </w:rPr>
      </w:pPr>
      <w:bookmarkStart w:id="13" w:name="_Toc15396599"/>
      <w:bookmarkStart w:id="14" w:name="_Toc15377196"/>
      <w:r>
        <w:rPr>
          <w:rFonts w:ascii="黑体" w:eastAsia="黑体" w:hAnsi="黑体"/>
          <w:b/>
          <w:color w:val="0000FF"/>
        </w:rPr>
        <w:br w:type="page"/>
      </w:r>
    </w:p>
    <w:p w:rsidR="009F5036" w:rsidRDefault="00514D84">
      <w:pPr>
        <w:pStyle w:val="1"/>
        <w:jc w:val="center"/>
        <w:rPr>
          <w:rStyle w:val="10"/>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0"/>
          <w:rFonts w:ascii="黑体" w:eastAsia="黑体" w:hAnsi="黑体" w:hint="eastAsia"/>
        </w:rPr>
        <w:t>部门概况</w:t>
      </w:r>
      <w:bookmarkEnd w:id="13"/>
      <w:bookmarkEnd w:id="14"/>
    </w:p>
    <w:p w:rsidR="009F5036" w:rsidRDefault="009F5036">
      <w:pPr>
        <w:widowControl/>
        <w:jc w:val="left"/>
        <w:rPr>
          <w:rFonts w:ascii="黑体" w:eastAsia="黑体"/>
          <w:sz w:val="32"/>
          <w:szCs w:val="32"/>
        </w:rPr>
      </w:pPr>
    </w:p>
    <w:p w:rsidR="009F5036" w:rsidRDefault="00514D84">
      <w:pPr>
        <w:pStyle w:val="2"/>
        <w:spacing w:before="0" w:after="0"/>
        <w:ind w:firstLineChars="200" w:firstLine="640"/>
        <w:rPr>
          <w:rStyle w:val="20"/>
          <w:rFonts w:ascii="仿宋" w:eastAsia="仿宋" w:hAnsi="仿宋"/>
        </w:rPr>
      </w:pPr>
      <w:bookmarkStart w:id="15" w:name="_Toc15377197"/>
      <w:bookmarkStart w:id="16" w:name="_Toc15396600"/>
      <w:r>
        <w:rPr>
          <w:rFonts w:ascii="黑体" w:eastAsia="黑体" w:hAnsi="黑体" w:hint="eastAsia"/>
          <w:b w:val="0"/>
        </w:rPr>
        <w:t>一、基</w:t>
      </w:r>
      <w:r>
        <w:rPr>
          <w:rStyle w:val="20"/>
          <w:rFonts w:ascii="黑体" w:eastAsia="黑体" w:hAnsi="黑体" w:hint="eastAsia"/>
        </w:rPr>
        <w:t>本职能及主要工作</w:t>
      </w:r>
      <w:bookmarkEnd w:id="15"/>
      <w:bookmarkEnd w:id="16"/>
    </w:p>
    <w:p w:rsidR="009F5036" w:rsidRDefault="00514D84">
      <w:pPr>
        <w:pStyle w:val="a3"/>
        <w:adjustRightInd w:val="0"/>
        <w:snapToGrid w:val="0"/>
        <w:spacing w:beforeLines="0" w:line="600" w:lineRule="exact"/>
        <w:ind w:firstLineChars="210" w:firstLine="672"/>
        <w:outlineLvl w:val="2"/>
        <w:rPr>
          <w:rFonts w:ascii="仿宋" w:eastAsia="仿宋" w:hAnsi="仿宋"/>
          <w:bCs/>
          <w:sz w:val="32"/>
          <w:szCs w:val="32"/>
        </w:rPr>
      </w:pPr>
      <w:bookmarkStart w:id="17" w:name="_Toc15377198"/>
      <w:bookmarkStart w:id="18" w:name="_Toc15378445"/>
      <w:r>
        <w:rPr>
          <w:rFonts w:ascii="仿宋" w:eastAsia="仿宋" w:hAnsi="仿宋" w:hint="eastAsia"/>
          <w:bCs/>
          <w:sz w:val="32"/>
          <w:szCs w:val="32"/>
        </w:rPr>
        <w:t>（一）主要职能</w:t>
      </w:r>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21"/>
          <w:szCs w:val="21"/>
        </w:rPr>
      </w:pPr>
      <w:bookmarkStart w:id="19" w:name="_Toc15377199"/>
      <w:bookmarkStart w:id="20" w:name="_Toc15378446"/>
      <w:bookmarkEnd w:id="17"/>
      <w:bookmarkEnd w:id="18"/>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）负责社区、农村卫生服务体系建设，对社区、农村卫生服务机构的建设项目进行管理。</w:t>
      </w:r>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21"/>
          <w:szCs w:val="21"/>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）负责制定社区、农村卫生建设规划、年度计划，并组织实施。</w:t>
      </w:r>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21"/>
          <w:szCs w:val="21"/>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）负责社区、农村卫生服务标准化、规范化建设与管理，负责社区、农村卫生服务、新农合信息化建设和管理。</w:t>
      </w:r>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21"/>
          <w:szCs w:val="21"/>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）负责对社区、农村卫生服务机构的业务进行指导、检查和管理，并进行年度考核。</w:t>
      </w:r>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21"/>
          <w:szCs w:val="21"/>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）负责探索社区卫生服务机构“收支两条线”“首诊制”“药品零利率”等运行机制体制。</w:t>
      </w:r>
    </w:p>
    <w:p w:rsidR="009F5036" w:rsidRDefault="00514D84">
      <w:pPr>
        <w:snapToGrid w:val="0"/>
        <w:spacing w:line="52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）负责对社区卫生服务机构公共补助经费进行管理和划拨。</w:t>
      </w:r>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21"/>
          <w:szCs w:val="21"/>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）负责社区</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、农村医务人员的培训考核。</w:t>
      </w:r>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8</w:t>
      </w:r>
      <w:r>
        <w:rPr>
          <w:rFonts w:ascii="仿宋_GB2312" w:eastAsia="仿宋_GB2312" w:hAnsi="仿宋_GB2312" w:cs="仿宋_GB2312" w:hint="eastAsia"/>
          <w:color w:val="333333"/>
          <w:sz w:val="32"/>
          <w:szCs w:val="32"/>
          <w:shd w:val="clear" w:color="auto" w:fill="FFFFFF"/>
        </w:rPr>
        <w:t>）负责公共卫生统计工作。</w:t>
      </w:r>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9</w:t>
      </w:r>
      <w:r>
        <w:rPr>
          <w:rFonts w:ascii="仿宋_GB2312" w:eastAsia="仿宋_GB2312" w:hAnsi="仿宋_GB2312" w:cs="仿宋_GB2312" w:hint="eastAsia"/>
          <w:color w:val="333333"/>
          <w:sz w:val="32"/>
          <w:szCs w:val="32"/>
          <w:shd w:val="clear" w:color="auto" w:fill="FFFFFF"/>
        </w:rPr>
        <w:t>）完成区委、政府交办的其它工作。</w:t>
      </w:r>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w:t>
      </w:r>
      <w:r>
        <w:rPr>
          <w:rFonts w:ascii="仿宋_GB2312" w:eastAsia="仿宋_GB2312" w:hAnsi="仿宋_GB2312" w:cs="仿宋_GB2312" w:hint="eastAsia"/>
          <w:color w:val="333333"/>
          <w:sz w:val="32"/>
          <w:szCs w:val="32"/>
          <w:shd w:val="clear" w:color="auto" w:fill="FFFFFF"/>
        </w:rPr>
        <w:t>2018</w:t>
      </w:r>
      <w:r>
        <w:rPr>
          <w:rFonts w:ascii="仿宋_GB2312" w:eastAsia="仿宋_GB2312" w:hAnsi="仿宋_GB2312" w:cs="仿宋_GB2312" w:hint="eastAsia"/>
          <w:color w:val="333333"/>
          <w:sz w:val="32"/>
          <w:szCs w:val="32"/>
          <w:shd w:val="clear" w:color="auto" w:fill="FFFFFF"/>
        </w:rPr>
        <w:t>年重点工作完成情况</w:t>
      </w:r>
      <w:bookmarkEnd w:id="19"/>
      <w:bookmarkEnd w:id="20"/>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不断深化医药卫生体制改革</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）基本药物惠及国家民生。</w:t>
      </w:r>
      <w:r>
        <w:rPr>
          <w:rFonts w:ascii="仿宋_GB2312" w:eastAsia="仿宋_GB2312" w:hAnsi="仿宋_GB2312" w:cs="仿宋_GB2312" w:hint="eastAsia"/>
          <w:sz w:val="32"/>
          <w:szCs w:val="32"/>
        </w:rPr>
        <w:t>全面实施国家基本药物</w:t>
      </w:r>
      <w:r>
        <w:rPr>
          <w:rFonts w:ascii="仿宋_GB2312" w:eastAsia="仿宋_GB2312" w:hAnsi="仿宋_GB2312" w:cs="仿宋_GB2312" w:hint="eastAsia"/>
          <w:sz w:val="32"/>
          <w:szCs w:val="32"/>
        </w:rPr>
        <w:lastRenderedPageBreak/>
        <w:t>制度，使</w:t>
      </w:r>
      <w:r>
        <w:rPr>
          <w:rFonts w:ascii="仿宋_GB2312" w:eastAsia="仿宋_GB2312" w:hAnsi="仿宋_GB2312" w:cs="仿宋_GB2312" w:hint="eastAsia"/>
          <w:sz w:val="32"/>
          <w:szCs w:val="32"/>
        </w:rPr>
        <w:t>群众药费负担明显减轻，受益的程度不断增加。</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年实行零差率销售后，基层医疗卫生机构门诊人次年增长</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以上，截至</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月底共让利群众</w:t>
      </w:r>
      <w:r>
        <w:rPr>
          <w:rFonts w:ascii="仿宋_GB2312" w:eastAsia="仿宋_GB2312" w:hAnsi="仿宋_GB2312" w:cs="仿宋_GB2312" w:hint="eastAsia"/>
          <w:sz w:val="32"/>
          <w:szCs w:val="32"/>
        </w:rPr>
        <w:t>209.96</w:t>
      </w:r>
      <w:r>
        <w:rPr>
          <w:rFonts w:ascii="仿宋_GB2312" w:eastAsia="仿宋_GB2312" w:hAnsi="仿宋_GB2312" w:cs="仿宋_GB2312" w:hint="eastAsia"/>
          <w:sz w:val="32"/>
          <w:szCs w:val="32"/>
        </w:rPr>
        <w:t>万元，群众深切体会到了制度实施带来的实惠。</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）开展家庭医生签约，感受贴心服务。</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西区公共卫生管理</w:t>
      </w:r>
      <w:r>
        <w:rPr>
          <w:rFonts w:ascii="仿宋_GB2312" w:eastAsia="仿宋_GB2312" w:hAnsi="仿宋_GB2312" w:cs="仿宋_GB2312" w:hint="eastAsia"/>
          <w:sz w:val="32"/>
          <w:szCs w:val="32"/>
        </w:rPr>
        <w:t>中心积极配合区卫生计生局协调市二医院、攀钢总医院、十九冶医院、市五医院等综合医院</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慢性病、中医、影像等专家资源下沉到家庭医生团队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充分运用“巴蜀快医”信息平台，利用手</w:t>
      </w:r>
      <w:r>
        <w:rPr>
          <w:rFonts w:ascii="仿宋_GB2312" w:eastAsia="仿宋_GB2312" w:hAnsi="仿宋_GB2312" w:cs="仿宋_GB2312" w:hint="eastAsia"/>
          <w:sz w:val="32"/>
          <w:szCs w:val="32"/>
        </w:rPr>
        <w:t>机</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通过上门签约、门诊就诊签约、巡诊签约等多种方式开展家庭医生签约服务工作，让辖区居民感受贴心的健康服务。</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）深化医联体内涵建设。</w:t>
      </w:r>
      <w:r>
        <w:rPr>
          <w:rFonts w:ascii="仿宋_GB2312" w:eastAsia="仿宋_GB2312" w:hAnsi="仿宋_GB2312" w:cs="仿宋_GB2312" w:hint="eastAsia"/>
          <w:sz w:val="32"/>
          <w:szCs w:val="32"/>
        </w:rPr>
        <w:t>一是进一步规范分级医疗服务工作，提升基层医疗机构服务能力，积极加强与市级综合性医疗机构的合作力度，全面实施了基层医疗服务机构与大中型医疗机构多种形式的合作，做到医疗卫生机构优势互补、资源共享。同时卫生行政主管部门加强了对工作运行情况的监督管理，定期对各级医疗机构双向转诊工作开展情况进行检查考核。二是借助医联体搭建的纵向合作平台，根据基层医疗卫生机构紧缺的专科型专家人才，主动邀请市二医院部分科室临床专家到基层医疗卫生机构坐诊，继续推进市二医院在基层医疗卫生机构的延伸门诊，同时，主动整合对口支援医技人员力量，强</w:t>
      </w:r>
      <w:r>
        <w:rPr>
          <w:rFonts w:ascii="仿宋_GB2312" w:eastAsia="仿宋_GB2312" w:hAnsi="仿宋_GB2312" w:cs="仿宋_GB2312" w:hint="eastAsia"/>
          <w:sz w:val="32"/>
          <w:szCs w:val="32"/>
        </w:rPr>
        <w:t>化延伸门诊的专家力量，西区在</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lastRenderedPageBreak/>
        <w:t>家基层设立延伸门诊，延伸门诊率达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9F5036" w:rsidRDefault="00514D84">
      <w:pPr>
        <w:spacing w:line="353"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全面提升基层医疗卫生服务能力</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）购进诊疗设备，提供更完善的服务。</w:t>
      </w:r>
      <w:r>
        <w:rPr>
          <w:rFonts w:ascii="仿宋_GB2312" w:eastAsia="仿宋_GB2312" w:hAnsi="仿宋_GB2312" w:cs="仿宋_GB2312" w:hint="eastAsia"/>
          <w:sz w:val="32"/>
          <w:szCs w:val="32"/>
        </w:rPr>
        <w:t>为进一步满足辖区居民的就医需求，格里坪镇卫生院、清香坪社区卫生服务中心、玉泉社区卫生服务中心、河门口社区卫生服务中心、陶家渡社区卫生服务中心已配齐</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超、心电设备。</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）强化人员引进和培养，增强服务软实力。</w:t>
      </w:r>
      <w:r>
        <w:rPr>
          <w:rFonts w:ascii="仿宋_GB2312" w:eastAsia="仿宋_GB2312" w:hAnsi="仿宋_GB2312" w:cs="仿宋_GB2312" w:hint="eastAsia"/>
          <w:sz w:val="32"/>
          <w:szCs w:val="32"/>
        </w:rPr>
        <w:t>基层医疗卫生机构加强全科医生培养和加强优秀人才引进。严格全科医师规范化管理，加大基层医疗卫生人员理论知识和临床技能培训，通过派出医生参加全科医师规范化培训、转岗</w:t>
      </w:r>
      <w:r>
        <w:rPr>
          <w:rFonts w:ascii="仿宋_GB2312" w:eastAsia="仿宋_GB2312" w:hAnsi="仿宋_GB2312" w:cs="仿宋_GB2312" w:hint="eastAsia"/>
          <w:sz w:val="32"/>
          <w:szCs w:val="32"/>
        </w:rPr>
        <w:t>培训等多种途径，加强基层医疗卫生机构人才队伍建设。继续加强基层在岗卫技人员全科医学、中医学知识技能和适宜技术培训，继续教育内容突出“三性”（针对性、实用性、先进性）、“四新”（新理论、新知识、新技术、新方法）。同时，加强月学季考管理模式，切实提高基层医技人员服务水平。同时，根据单位人才需求和空编情况，经区委、区政府同意后，按照考核招聘的程序，引进符合岗位条件的优秀医技人员入编管理。</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）充分发挥智慧医疗惠民作用。</w:t>
      </w:r>
      <w:r>
        <w:rPr>
          <w:rFonts w:ascii="仿宋_GB2312" w:eastAsia="仿宋_GB2312" w:hAnsi="仿宋_GB2312" w:cs="仿宋_GB2312" w:hint="eastAsia"/>
          <w:sz w:val="32"/>
          <w:szCs w:val="32"/>
        </w:rPr>
        <w:t>充分利用综合医院构建的远程影像、远程心电、远程会诊等基层远程医疗服务体系，完善基层检查服务功能</w:t>
      </w:r>
      <w:r>
        <w:rPr>
          <w:rFonts w:ascii="仿宋_GB2312" w:eastAsia="仿宋_GB2312" w:hAnsi="仿宋_GB2312" w:cs="仿宋_GB2312" w:hint="eastAsia"/>
          <w:sz w:val="32"/>
          <w:szCs w:val="32"/>
        </w:rPr>
        <w:t>，依托远程会诊、远程病例讨论等提高基层诊断能力和人员业务水平，构建基层首诊、远</w:t>
      </w:r>
      <w:r>
        <w:rPr>
          <w:rFonts w:ascii="仿宋_GB2312" w:eastAsia="仿宋_GB2312" w:hAnsi="仿宋_GB2312" w:cs="仿宋_GB2312" w:hint="eastAsia"/>
          <w:sz w:val="32"/>
          <w:szCs w:val="32"/>
        </w:rPr>
        <w:lastRenderedPageBreak/>
        <w:t>程会诊、双向转诊的基层服务新模式。依托智慧医疗和信息化系统等信息化技术，搭建家庭医生智能化服务平台，通过手机</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、微信公众号、门户网站等多种渠道，为居民提供家庭医生网上签约、团队选择、服务包查询等便捷服务。</w:t>
      </w:r>
    </w:p>
    <w:p w:rsidR="009F5036" w:rsidRDefault="00514D84">
      <w:pPr>
        <w:spacing w:line="353"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大力发展康养</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医疗产业</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）融合医疗资源。</w:t>
      </w:r>
      <w:r>
        <w:rPr>
          <w:rFonts w:ascii="仿宋_GB2312" w:eastAsia="仿宋_GB2312" w:hAnsi="仿宋_GB2312" w:cs="仿宋_GB2312" w:hint="eastAsia"/>
          <w:sz w:val="32"/>
          <w:szCs w:val="32"/>
        </w:rPr>
        <w:t>引进北京三帝科技股份有限公司在市二医院建立</w:t>
      </w:r>
      <w:r>
        <w:rPr>
          <w:rFonts w:ascii="仿宋_GB2312" w:eastAsia="仿宋_GB2312" w:hAnsi="仿宋_GB2312" w:cs="仿宋_GB2312" w:hint="eastAsia"/>
          <w:sz w:val="32"/>
          <w:szCs w:val="32"/>
        </w:rPr>
        <w:t>3D</w:t>
      </w:r>
      <w:r>
        <w:rPr>
          <w:rFonts w:ascii="仿宋_GB2312" w:eastAsia="仿宋_GB2312" w:hAnsi="仿宋_GB2312" w:cs="仿宋_GB2312" w:hint="eastAsia"/>
          <w:sz w:val="32"/>
          <w:szCs w:val="32"/>
        </w:rPr>
        <w:t>打印康复辅具装配中心，协助三帝公司与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家市级综合医院建立合作关系；充分整合西区现有资源，引进上海中汇爱五福集团打造都市养老中心，现</w:t>
      </w:r>
      <w:r>
        <w:rPr>
          <w:rFonts w:ascii="仿宋_GB2312" w:eastAsia="仿宋_GB2312" w:hAnsi="仿宋_GB2312" w:cs="仿宋_GB2312" w:hint="eastAsia"/>
          <w:sz w:val="32"/>
          <w:szCs w:val="32"/>
        </w:rPr>
        <w:t>主体基本装修完毕，设施设备正全面安装。</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）融合日间照料。</w:t>
      </w:r>
      <w:r>
        <w:rPr>
          <w:rFonts w:ascii="仿宋_GB2312" w:eastAsia="仿宋_GB2312" w:hAnsi="仿宋_GB2312" w:cs="仿宋_GB2312" w:hint="eastAsia"/>
          <w:sz w:val="32"/>
          <w:szCs w:val="32"/>
        </w:rPr>
        <w:t>督促各基层医疗卫生机构与辖区社区日间照料中心、养老院开展深度合作，在基本公共卫生服务全覆盖的基础上，深入推行临床护理与生活照料相结合、临床诊断与疾病康复相结合、养老疏导与临终关怀相结合和专病食谱和调养药膳相结合的“医护型”养老模式。</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）融合居家养老。</w:t>
      </w:r>
      <w:r>
        <w:rPr>
          <w:rFonts w:ascii="仿宋_GB2312" w:eastAsia="仿宋_GB2312" w:hAnsi="仿宋_GB2312" w:cs="仿宋_GB2312" w:hint="eastAsia"/>
          <w:sz w:val="32"/>
          <w:szCs w:val="32"/>
        </w:rPr>
        <w:t>以家庭为单位与辖区老年人签订协议，提供入户健康管理、预约诊疗、慢病指导、康复理疗等家庭签约服务，为有需求的签约老人建立转诊大医院的绿色通道，将签约人的健康信息与大医院共享，便于大医院进行精准、快捷的</w:t>
      </w:r>
      <w:r>
        <w:rPr>
          <w:rFonts w:ascii="仿宋_GB2312" w:eastAsia="仿宋_GB2312" w:hAnsi="仿宋_GB2312" w:cs="仿宋_GB2312" w:hint="eastAsia"/>
          <w:sz w:val="32"/>
          <w:szCs w:val="32"/>
        </w:rPr>
        <w:t>诊疗。</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）融合中医养生。</w:t>
      </w:r>
      <w:r>
        <w:rPr>
          <w:rFonts w:ascii="仿宋_GB2312" w:eastAsia="仿宋_GB2312" w:hAnsi="仿宋_GB2312" w:cs="仿宋_GB2312" w:hint="eastAsia"/>
          <w:sz w:val="32"/>
          <w:szCs w:val="32"/>
        </w:rPr>
        <w:t>在社区推行指导食疗药膳、倡导运动保健、推行中医理疗、强化健康教育“四合一”中医药</w:t>
      </w:r>
      <w:r>
        <w:rPr>
          <w:rFonts w:ascii="仿宋_GB2312" w:eastAsia="仿宋_GB2312" w:hAnsi="仿宋_GB2312" w:cs="仿宋_GB2312" w:hint="eastAsia"/>
          <w:sz w:val="32"/>
          <w:szCs w:val="32"/>
        </w:rPr>
        <w:lastRenderedPageBreak/>
        <w:t>健康管理模式，格里坪镇卫生院和</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家社区卫生服务中心开设治未病门诊，为居民提供中医健康监测、咨询评估、养生调理、跟踪管理等中医养生保健服务。同时大力发展本土特色中医诊所，以远顺诊所和香堂诊所为代表的特色中医疗法，吸引周边地区居民前来就医。</w:t>
      </w:r>
    </w:p>
    <w:p w:rsidR="009F5036" w:rsidRDefault="00514D84">
      <w:pPr>
        <w:spacing w:line="353"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持续提升医疗服务质量</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基层医疗卫生机构坚持以患者为中心，不断优化服务流程，推出便民举措，改善患者就医体验。</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）优化诊区设施布局，营造温馨就诊环境。</w:t>
      </w:r>
      <w:r>
        <w:rPr>
          <w:rFonts w:ascii="仿宋_GB2312" w:eastAsia="仿宋_GB2312" w:hAnsi="仿宋_GB2312" w:cs="仿宋_GB2312" w:hint="eastAsia"/>
          <w:sz w:val="32"/>
          <w:szCs w:val="32"/>
        </w:rPr>
        <w:t>基层医疗卫生机构在一楼大厅设置预检分诊挂</w:t>
      </w:r>
      <w:r>
        <w:rPr>
          <w:rFonts w:ascii="仿宋_GB2312" w:eastAsia="仿宋_GB2312" w:hAnsi="仿宋_GB2312" w:cs="仿宋_GB2312" w:hint="eastAsia"/>
          <w:sz w:val="32"/>
          <w:szCs w:val="32"/>
        </w:rPr>
        <w:t>号处，设置专人挂号引导就医以及门诊血压筛查，降低排队等候时间；改造中医馆，实现中医候诊、中医门诊、理疗、康复独立分区；改造妇儿保健室、预防接种室等科室，让预防保健就诊流程更合理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为行动不便患者提供轮椅、专用通道，必要时提供一对一的专人免费陪护服务。</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）购进诊疗设备，提供更完善的服务。</w:t>
      </w:r>
      <w:r>
        <w:rPr>
          <w:rFonts w:ascii="仿宋_GB2312" w:eastAsia="仿宋_GB2312" w:hAnsi="仿宋_GB2312" w:cs="仿宋_GB2312" w:hint="eastAsia"/>
          <w:sz w:val="32"/>
          <w:szCs w:val="32"/>
        </w:rPr>
        <w:t>为进一步满足辖区居民的就医需求，基层医疗卫生机构新购进彩超、熏蒸仪、艾灸床、胎儿监护仪等医疗设备，投入金额</w:t>
      </w: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余万元，扩大诊疗范围，为百姓提供家门口的优质服务，方便百姓就医。</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）实行“花钱购买服务”新模式。</w:t>
      </w:r>
      <w:r>
        <w:rPr>
          <w:rFonts w:ascii="仿宋_GB2312" w:eastAsia="仿宋_GB2312" w:hAnsi="仿宋_GB2312" w:cs="仿宋_GB2312" w:hint="eastAsia"/>
          <w:sz w:val="32"/>
          <w:szCs w:val="32"/>
        </w:rPr>
        <w:t>为了满足辖区</w:t>
      </w:r>
      <w:r>
        <w:rPr>
          <w:rFonts w:ascii="仿宋_GB2312" w:eastAsia="仿宋_GB2312" w:hAnsi="仿宋_GB2312" w:cs="仿宋_GB2312" w:hint="eastAsia"/>
          <w:sz w:val="32"/>
          <w:szCs w:val="32"/>
        </w:rPr>
        <w:t>居民医疗需求，填补临床检验的不足，提高服务能力，优化配</w:t>
      </w:r>
      <w:r>
        <w:rPr>
          <w:rFonts w:ascii="仿宋_GB2312" w:eastAsia="仿宋_GB2312" w:hAnsi="仿宋_GB2312" w:cs="仿宋_GB2312" w:hint="eastAsia"/>
          <w:sz w:val="32"/>
          <w:szCs w:val="32"/>
        </w:rPr>
        <w:lastRenderedPageBreak/>
        <w:t>置卫生资源。基层医疗卫生机构实行“花钱购买检验”模式，让居民在家门口就可以得到更多的检验项目，就近享有低价优质的医学检验服务，最大化实现资源共享，既增加了服务项目，又减少了人力成本支出。</w:t>
      </w:r>
    </w:p>
    <w:p w:rsidR="009F5036" w:rsidRDefault="00514D84">
      <w:pPr>
        <w:spacing w:line="353"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稳步加强公共卫生工作</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统一培训。举办各基层医疗卫生机构负责人和公共卫生股室负责人培训班，开展基本公共卫生政策、服务项目业务系统培训</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分类培训。区均等化指导中心采取集中培训和公共卫生专业机构分类培训相结合的方式进行项目的学习培训，</w:t>
      </w:r>
      <w:r>
        <w:rPr>
          <w:rFonts w:ascii="仿宋_GB2312" w:eastAsia="仿宋_GB2312" w:hAnsi="仿宋_GB2312" w:cs="仿宋_GB2312" w:hint="eastAsia"/>
          <w:sz w:val="32"/>
          <w:szCs w:val="32"/>
        </w:rPr>
        <w:t xml:space="preserve"> 2018</w:t>
      </w:r>
      <w:r>
        <w:rPr>
          <w:rFonts w:ascii="仿宋_GB2312" w:eastAsia="仿宋_GB2312" w:hAnsi="仿宋_GB2312" w:cs="仿宋_GB2312" w:hint="eastAsia"/>
          <w:sz w:val="32"/>
          <w:szCs w:val="32"/>
        </w:rPr>
        <w:t>年先后共举办健康教育</w:t>
      </w:r>
      <w:r>
        <w:rPr>
          <w:rFonts w:ascii="仿宋_GB2312" w:eastAsia="仿宋_GB2312" w:hAnsi="仿宋_GB2312" w:cs="仿宋_GB2312" w:hint="eastAsia"/>
          <w:sz w:val="32"/>
          <w:szCs w:val="32"/>
        </w:rPr>
        <w:t>、孕产妇保健、儿童保健、慢性病管理、重性精神病管理、传染病管理等项目培训会</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次，参加培训人员达</w:t>
      </w:r>
      <w:r>
        <w:rPr>
          <w:rFonts w:ascii="仿宋_GB2312" w:eastAsia="仿宋_GB2312" w:hAnsi="仿宋_GB2312" w:cs="仿宋_GB2312" w:hint="eastAsia"/>
          <w:sz w:val="32"/>
          <w:szCs w:val="32"/>
        </w:rPr>
        <w:t xml:space="preserve"> 576</w:t>
      </w:r>
      <w:r>
        <w:rPr>
          <w:rFonts w:ascii="仿宋_GB2312" w:eastAsia="仿宋_GB2312" w:hAnsi="仿宋_GB2312" w:cs="仿宋_GB2312" w:hint="eastAsia"/>
          <w:sz w:val="32"/>
          <w:szCs w:val="32"/>
        </w:rPr>
        <w:t>人次。同时积极选送相关人员参加省、市传染病防治、预防接种和重性精神疾病等各类培训班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三是各基层医疗机构</w:t>
      </w:r>
      <w:r>
        <w:rPr>
          <w:rFonts w:ascii="仿宋_GB2312" w:eastAsia="仿宋_GB2312" w:hAnsi="仿宋_GB2312" w:cs="仿宋_GB2312" w:hint="eastAsia"/>
          <w:sz w:val="32"/>
          <w:szCs w:val="32"/>
        </w:rPr>
        <w:t>开展内部</w:t>
      </w:r>
      <w:r>
        <w:rPr>
          <w:rFonts w:ascii="仿宋_GB2312" w:eastAsia="仿宋_GB2312" w:hAnsi="仿宋_GB2312" w:cs="仿宋_GB2312" w:hint="eastAsia"/>
          <w:sz w:val="32"/>
          <w:szCs w:val="32"/>
        </w:rPr>
        <w:t>培训。按照中心管站的原则，每月开展对站公卫人员相关项目的培训；利用村医例会形式，对村医进行公共卫生管理工作的培训。</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）建立居民健康档案</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国家基本公共卫生服务项目中，居民健康建档是基础，为辖区常住人口建立规范的居民电子健康档案。</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）健康教育</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宣传普及《中国公民健康素养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基本知识与技能（</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年版）》，各基层医疗卫生机构为居民提供健康教育咨询服务，</w:t>
      </w:r>
      <w:r>
        <w:rPr>
          <w:rFonts w:ascii="仿宋_GB2312" w:eastAsia="仿宋_GB2312" w:hAnsi="仿宋_GB2312" w:cs="仿宋_GB2312" w:hint="eastAsia"/>
          <w:sz w:val="32"/>
          <w:szCs w:val="32"/>
        </w:rPr>
        <w:lastRenderedPageBreak/>
        <w:t>设置健康教育宣传栏并定期更新内容，开展健康知识讲座及个体化健康教育。</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年共发放印刷资料约</w:t>
      </w:r>
      <w:r>
        <w:rPr>
          <w:rFonts w:ascii="仿宋_GB2312" w:eastAsia="仿宋_GB2312" w:hAnsi="仿宋_GB2312" w:cs="仿宋_GB2312" w:hint="eastAsia"/>
          <w:sz w:val="32"/>
          <w:szCs w:val="32"/>
        </w:rPr>
        <w:t>122746</w:t>
      </w:r>
      <w:r>
        <w:rPr>
          <w:rFonts w:ascii="仿宋_GB2312" w:eastAsia="仿宋_GB2312" w:hAnsi="仿宋_GB2312" w:cs="仿宋_GB2312" w:hint="eastAsia"/>
          <w:sz w:val="32"/>
          <w:szCs w:val="32"/>
        </w:rPr>
        <w:t>份，更新宣传栏内容</w:t>
      </w:r>
      <w:r>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次，音像资料播放时间</w:t>
      </w:r>
      <w:r>
        <w:rPr>
          <w:rFonts w:ascii="仿宋_GB2312" w:eastAsia="仿宋_GB2312" w:hAnsi="仿宋_GB2312" w:cs="仿宋_GB2312" w:hint="eastAsia"/>
          <w:sz w:val="32"/>
          <w:szCs w:val="32"/>
        </w:rPr>
        <w:t>5000.5</w:t>
      </w:r>
      <w:r>
        <w:rPr>
          <w:rFonts w:ascii="仿宋_GB2312" w:eastAsia="仿宋_GB2312" w:hAnsi="仿宋_GB2312" w:cs="仿宋_GB2312" w:hint="eastAsia"/>
          <w:sz w:val="32"/>
          <w:szCs w:val="32"/>
        </w:rPr>
        <w:t>小时，开展公众健康咨询活动</w:t>
      </w:r>
      <w:r>
        <w:rPr>
          <w:rFonts w:ascii="仿宋_GB2312" w:eastAsia="仿宋_GB2312" w:hAnsi="仿宋_GB2312" w:cs="仿宋_GB2312" w:hint="eastAsia"/>
          <w:sz w:val="32"/>
          <w:szCs w:val="32"/>
        </w:rPr>
        <w:t>116</w:t>
      </w:r>
      <w:r>
        <w:rPr>
          <w:rFonts w:ascii="仿宋_GB2312" w:eastAsia="仿宋_GB2312" w:hAnsi="仿宋_GB2312" w:cs="仿宋_GB2312" w:hint="eastAsia"/>
          <w:sz w:val="32"/>
          <w:szCs w:val="32"/>
        </w:rPr>
        <w:t>次，受益人群</w:t>
      </w:r>
      <w:r>
        <w:rPr>
          <w:rFonts w:ascii="仿宋_GB2312" w:eastAsia="仿宋_GB2312" w:hAnsi="仿宋_GB2312" w:cs="仿宋_GB2312" w:hint="eastAsia"/>
          <w:sz w:val="32"/>
          <w:szCs w:val="32"/>
        </w:rPr>
        <w:t>13637</w:t>
      </w:r>
      <w:r>
        <w:rPr>
          <w:rFonts w:ascii="仿宋_GB2312" w:eastAsia="仿宋_GB2312" w:hAnsi="仿宋_GB2312" w:cs="仿宋_GB2312" w:hint="eastAsia"/>
          <w:sz w:val="32"/>
          <w:szCs w:val="32"/>
        </w:rPr>
        <w:t>人，举办健康知识讲座</w:t>
      </w: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次，受益人群</w:t>
      </w:r>
      <w:r>
        <w:rPr>
          <w:rFonts w:ascii="仿宋_GB2312" w:eastAsia="仿宋_GB2312" w:hAnsi="仿宋_GB2312" w:cs="仿宋_GB2312" w:hint="eastAsia"/>
          <w:sz w:val="32"/>
          <w:szCs w:val="32"/>
        </w:rPr>
        <w:t>3241</w:t>
      </w:r>
      <w:r>
        <w:rPr>
          <w:rFonts w:ascii="仿宋_GB2312" w:eastAsia="仿宋_GB2312" w:hAnsi="仿宋_GB2312" w:cs="仿宋_GB2312" w:hint="eastAsia"/>
          <w:sz w:val="32"/>
          <w:szCs w:val="32"/>
        </w:rPr>
        <w:t>人。</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）预防接种</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为适龄儿童免</w:t>
      </w:r>
      <w:r>
        <w:rPr>
          <w:rFonts w:ascii="仿宋_GB2312" w:eastAsia="仿宋_GB2312" w:hAnsi="仿宋_GB2312" w:cs="仿宋_GB2312" w:hint="eastAsia"/>
          <w:sz w:val="32"/>
          <w:szCs w:val="32"/>
        </w:rPr>
        <w:t>费接种国家免疫规划疫苗，</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月底全区共建立儿童接种卡</w:t>
      </w:r>
      <w:r>
        <w:rPr>
          <w:rFonts w:ascii="仿宋_GB2312" w:eastAsia="仿宋_GB2312" w:hAnsi="仿宋_GB2312" w:cs="仿宋_GB2312" w:hint="eastAsia"/>
          <w:sz w:val="32"/>
          <w:szCs w:val="32"/>
        </w:rPr>
        <w:t>4203</w:t>
      </w:r>
      <w:r>
        <w:rPr>
          <w:rFonts w:ascii="仿宋_GB2312" w:eastAsia="仿宋_GB2312" w:hAnsi="仿宋_GB2312" w:cs="仿宋_GB2312" w:hint="eastAsia"/>
          <w:sz w:val="32"/>
          <w:szCs w:val="32"/>
        </w:rPr>
        <w:t>人，卡介苗接种率为</w:t>
      </w:r>
      <w:r>
        <w:rPr>
          <w:rFonts w:ascii="仿宋_GB2312" w:eastAsia="仿宋_GB2312" w:hAnsi="仿宋_GB2312" w:cs="仿宋_GB2312" w:hint="eastAsia"/>
          <w:sz w:val="32"/>
          <w:szCs w:val="32"/>
        </w:rPr>
        <w:t>99.16%</w:t>
      </w:r>
      <w:r>
        <w:rPr>
          <w:rFonts w:ascii="仿宋_GB2312" w:eastAsia="仿宋_GB2312" w:hAnsi="仿宋_GB2312" w:cs="仿宋_GB2312" w:hint="eastAsia"/>
          <w:sz w:val="32"/>
          <w:szCs w:val="32"/>
        </w:rPr>
        <w:t>，乙肝疫苗接种率为</w:t>
      </w:r>
      <w:r>
        <w:rPr>
          <w:rFonts w:ascii="仿宋_GB2312" w:eastAsia="仿宋_GB2312" w:hAnsi="仿宋_GB2312" w:cs="仿宋_GB2312" w:hint="eastAsia"/>
          <w:sz w:val="32"/>
          <w:szCs w:val="32"/>
        </w:rPr>
        <w:t>97.82%</w:t>
      </w:r>
      <w:r>
        <w:rPr>
          <w:rFonts w:ascii="仿宋_GB2312" w:eastAsia="仿宋_GB2312" w:hAnsi="仿宋_GB2312" w:cs="仿宋_GB2312" w:hint="eastAsia"/>
          <w:sz w:val="32"/>
          <w:szCs w:val="32"/>
        </w:rPr>
        <w:t>，脊灰疫苗接种率为</w:t>
      </w:r>
      <w:r>
        <w:rPr>
          <w:rFonts w:ascii="仿宋_GB2312" w:eastAsia="仿宋_GB2312" w:hAnsi="仿宋_GB2312" w:cs="仿宋_GB2312" w:hint="eastAsia"/>
          <w:sz w:val="32"/>
          <w:szCs w:val="32"/>
        </w:rPr>
        <w:t>97.55%</w:t>
      </w:r>
      <w:r>
        <w:rPr>
          <w:rFonts w:ascii="仿宋_GB2312" w:eastAsia="仿宋_GB2312" w:hAnsi="仿宋_GB2312" w:cs="仿宋_GB2312" w:hint="eastAsia"/>
          <w:sz w:val="32"/>
          <w:szCs w:val="32"/>
        </w:rPr>
        <w:t>，含麻成份疫苗接种率为</w:t>
      </w:r>
      <w:r>
        <w:rPr>
          <w:rFonts w:ascii="仿宋_GB2312" w:eastAsia="仿宋_GB2312" w:hAnsi="仿宋_GB2312" w:cs="仿宋_GB2312" w:hint="eastAsia"/>
          <w:sz w:val="32"/>
          <w:szCs w:val="32"/>
        </w:rPr>
        <w:t>97.62%</w:t>
      </w:r>
      <w:r>
        <w:rPr>
          <w:rFonts w:ascii="仿宋_GB2312" w:eastAsia="仿宋_GB2312" w:hAnsi="仿宋_GB2312" w:cs="仿宋_GB2312" w:hint="eastAsia"/>
          <w:sz w:val="32"/>
          <w:szCs w:val="32"/>
        </w:rPr>
        <w:t>，百白破疫苗接种率为</w:t>
      </w:r>
      <w:r>
        <w:rPr>
          <w:rFonts w:ascii="仿宋_GB2312" w:eastAsia="仿宋_GB2312" w:hAnsi="仿宋_GB2312" w:cs="仿宋_GB2312" w:hint="eastAsia"/>
          <w:sz w:val="32"/>
          <w:szCs w:val="32"/>
        </w:rPr>
        <w:t>98.24%</w:t>
      </w:r>
      <w:r>
        <w:rPr>
          <w:rFonts w:ascii="仿宋_GB2312" w:eastAsia="仿宋_GB2312" w:hAnsi="仿宋_GB2312" w:cs="仿宋_GB2312" w:hint="eastAsia"/>
          <w:sz w:val="32"/>
          <w:szCs w:val="32"/>
        </w:rPr>
        <w:t>，流脑疫苗接种率为</w:t>
      </w:r>
      <w:r>
        <w:rPr>
          <w:rFonts w:ascii="仿宋_GB2312" w:eastAsia="仿宋_GB2312" w:hAnsi="仿宋_GB2312" w:cs="仿宋_GB2312" w:hint="eastAsia"/>
          <w:sz w:val="32"/>
          <w:szCs w:val="32"/>
        </w:rPr>
        <w:t>97.75%</w:t>
      </w:r>
      <w:r>
        <w:rPr>
          <w:rFonts w:ascii="仿宋_GB2312" w:eastAsia="仿宋_GB2312" w:hAnsi="仿宋_GB2312" w:cs="仿宋_GB2312" w:hint="eastAsia"/>
          <w:sz w:val="32"/>
          <w:szCs w:val="32"/>
        </w:rPr>
        <w:t>，乙脑疫苗接种率为</w:t>
      </w:r>
      <w:r>
        <w:rPr>
          <w:rFonts w:ascii="仿宋_GB2312" w:eastAsia="仿宋_GB2312" w:hAnsi="仿宋_GB2312" w:cs="仿宋_GB2312" w:hint="eastAsia"/>
          <w:sz w:val="32"/>
          <w:szCs w:val="32"/>
        </w:rPr>
        <w:t>97.49%</w:t>
      </w:r>
      <w:r>
        <w:rPr>
          <w:rFonts w:ascii="仿宋_GB2312" w:eastAsia="仿宋_GB2312" w:hAnsi="仿宋_GB2312" w:cs="仿宋_GB2312" w:hint="eastAsia"/>
          <w:sz w:val="32"/>
          <w:szCs w:val="32"/>
        </w:rPr>
        <w:t>，甲肝疫苗接种率为</w:t>
      </w:r>
      <w:r>
        <w:rPr>
          <w:rFonts w:ascii="仿宋_GB2312" w:eastAsia="仿宋_GB2312" w:hAnsi="仿宋_GB2312" w:cs="仿宋_GB2312" w:hint="eastAsia"/>
          <w:sz w:val="32"/>
          <w:szCs w:val="32"/>
        </w:rPr>
        <w:t>97.73%</w:t>
      </w:r>
      <w:r>
        <w:rPr>
          <w:rFonts w:ascii="仿宋_GB2312" w:eastAsia="仿宋_GB2312" w:hAnsi="仿宋_GB2312" w:cs="仿宋_GB2312" w:hint="eastAsia"/>
          <w:sz w:val="32"/>
          <w:szCs w:val="32"/>
        </w:rPr>
        <w:t>。</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）传染病防治</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及时发现、登记并报告辖区内发现的传染病病例和疑似病例。</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）儿童健康管理</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岁儿童建立儿童保健手册，开展新生儿访视及儿童保健系统管理。</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）孕产妇健康管理</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《国家基本公共卫生服务项目规范》（第三版）要求，每年至少为孕产妇免费开展</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次孕期保健服务和</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次产后访视。</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w:t>
      </w: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）老年人健康管理</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每年为辖区内</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岁及以上常住居民提供</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次健康管理服务，包括生活方式和健康状况评估、体格检查、辅助检查和健康指导。</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）慢性病患者健康管理</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对确诊高血压和糖尿病的患者进行登记管理，定期进行随访，并对他们进行体格检查及用药、饮食、运动、心理等健康指导。</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9</w:t>
      </w:r>
      <w:r>
        <w:rPr>
          <w:rFonts w:ascii="仿宋_GB2312" w:eastAsia="仿宋_GB2312" w:hAnsi="仿宋_GB2312" w:cs="仿宋_GB2312" w:hint="eastAsia"/>
          <w:b/>
          <w:bCs/>
          <w:sz w:val="32"/>
          <w:szCs w:val="32"/>
        </w:rPr>
        <w:t>）重性精神疾病患者管理</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对确诊明确、在家居住的重性精神疾病患者进行定期随访评估和分类干预。</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）卫生监督协管服务</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年各基层医疗卫生机构协管办公室共协助开展饮用水卫生安全、食品卫生安全、职业病危害、学校卫生、非法采供血实地巡查</w:t>
      </w:r>
      <w:r>
        <w:rPr>
          <w:rFonts w:ascii="仿宋_GB2312" w:eastAsia="仿宋_GB2312" w:hAnsi="仿宋_GB2312" w:cs="仿宋_GB2312" w:hint="eastAsia"/>
          <w:sz w:val="32"/>
          <w:szCs w:val="32"/>
        </w:rPr>
        <w:t>679</w:t>
      </w:r>
      <w:r>
        <w:rPr>
          <w:rFonts w:ascii="仿宋_GB2312" w:eastAsia="仿宋_GB2312" w:hAnsi="仿宋_GB2312" w:cs="仿宋_GB2312" w:hint="eastAsia"/>
          <w:sz w:val="32"/>
          <w:szCs w:val="32"/>
        </w:rPr>
        <w:t>次。</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11</w:t>
      </w:r>
      <w:r>
        <w:rPr>
          <w:rFonts w:ascii="仿宋_GB2312" w:eastAsia="仿宋_GB2312" w:hAnsi="仿宋_GB2312" w:cs="仿宋_GB2312" w:hint="eastAsia"/>
          <w:b/>
          <w:bCs/>
          <w:sz w:val="32"/>
          <w:szCs w:val="32"/>
        </w:rPr>
        <w:t>）中医药健康管理服务</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年，目前辖区内应管理的</w:t>
      </w:r>
      <w:r>
        <w:rPr>
          <w:rFonts w:ascii="仿宋_GB2312" w:eastAsia="仿宋_GB2312" w:hAnsi="仿宋_GB2312" w:cs="仿宋_GB2312" w:hint="eastAsia"/>
          <w:sz w:val="32"/>
          <w:szCs w:val="32"/>
        </w:rPr>
        <w:t>0-3</w:t>
      </w:r>
      <w:r>
        <w:rPr>
          <w:rFonts w:ascii="仿宋_GB2312" w:eastAsia="仿宋_GB2312" w:hAnsi="仿宋_GB2312" w:cs="仿宋_GB2312" w:hint="eastAsia"/>
          <w:sz w:val="32"/>
          <w:szCs w:val="32"/>
        </w:rPr>
        <w:t>岁儿童数</w:t>
      </w:r>
      <w:r>
        <w:rPr>
          <w:rFonts w:ascii="仿宋_GB2312" w:eastAsia="仿宋_GB2312" w:hAnsi="仿宋_GB2312" w:cs="仿宋_GB2312" w:hint="eastAsia"/>
          <w:sz w:val="32"/>
          <w:szCs w:val="32"/>
        </w:rPr>
        <w:t>2516</w:t>
      </w:r>
      <w:r>
        <w:rPr>
          <w:rFonts w:ascii="仿宋_GB2312" w:eastAsia="仿宋_GB2312" w:hAnsi="仿宋_GB2312" w:cs="仿宋_GB2312" w:hint="eastAsia"/>
          <w:sz w:val="32"/>
          <w:szCs w:val="32"/>
        </w:rPr>
        <w:t>人，接受中医药健康管理服务人数</w:t>
      </w:r>
      <w:r>
        <w:rPr>
          <w:rFonts w:ascii="仿宋_GB2312" w:eastAsia="仿宋_GB2312" w:hAnsi="仿宋_GB2312" w:cs="仿宋_GB2312" w:hint="eastAsia"/>
          <w:sz w:val="32"/>
          <w:szCs w:val="32"/>
        </w:rPr>
        <w:t>2387</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岁及以上老年人接受中医药健康管理人数</w:t>
      </w:r>
      <w:r>
        <w:rPr>
          <w:rFonts w:ascii="仿宋_GB2312" w:eastAsia="仿宋_GB2312" w:hAnsi="仿宋_GB2312" w:cs="仿宋_GB2312" w:hint="eastAsia"/>
          <w:sz w:val="32"/>
          <w:szCs w:val="32"/>
        </w:rPr>
        <w:t>14612</w:t>
      </w:r>
      <w:r>
        <w:rPr>
          <w:rFonts w:ascii="仿宋_GB2312" w:eastAsia="仿宋_GB2312" w:hAnsi="仿宋_GB2312" w:cs="仿宋_GB2312" w:hint="eastAsia"/>
          <w:sz w:val="32"/>
          <w:szCs w:val="32"/>
        </w:rPr>
        <w:t>人。</w:t>
      </w:r>
    </w:p>
    <w:p w:rsidR="009F5036" w:rsidRDefault="00514D84">
      <w:pPr>
        <w:pStyle w:val="2"/>
        <w:spacing w:before="0" w:after="0"/>
        <w:ind w:firstLineChars="200" w:firstLine="640"/>
        <w:rPr>
          <w:rStyle w:val="20"/>
        </w:rPr>
      </w:pPr>
      <w:bookmarkStart w:id="21" w:name="_Toc15377200"/>
      <w:bookmarkStart w:id="22" w:name="_Toc15396601"/>
      <w:r>
        <w:rPr>
          <w:rFonts w:ascii="黑体" w:eastAsia="黑体" w:hint="eastAsia"/>
          <w:b w:val="0"/>
        </w:rPr>
        <w:t>二、</w:t>
      </w:r>
      <w:r>
        <w:rPr>
          <w:rFonts w:ascii="黑体" w:eastAsia="黑体" w:hAnsi="黑体" w:hint="eastAsia"/>
          <w:b w:val="0"/>
        </w:rPr>
        <w:t>机</w:t>
      </w:r>
      <w:r>
        <w:rPr>
          <w:rStyle w:val="20"/>
          <w:rFonts w:ascii="黑体" w:eastAsia="黑体" w:hAnsi="黑体" w:hint="eastAsia"/>
        </w:rPr>
        <w:t>构设置</w:t>
      </w:r>
      <w:bookmarkEnd w:id="21"/>
      <w:bookmarkEnd w:id="22"/>
    </w:p>
    <w:p w:rsidR="009F5036" w:rsidRDefault="00514D84">
      <w:pPr>
        <w:spacing w:line="352" w:lineRule="auto"/>
        <w:ind w:firstLineChars="200" w:firstLine="640"/>
        <w:rPr>
          <w:color w:val="000000"/>
          <w:sz w:val="32"/>
          <w:szCs w:val="32"/>
        </w:rPr>
      </w:pPr>
      <w:r>
        <w:rPr>
          <w:rFonts w:hint="eastAsia"/>
          <w:color w:val="000000"/>
          <w:sz w:val="32"/>
          <w:szCs w:val="32"/>
        </w:rPr>
        <w:t>攀枝花市西区公共卫生管理中心</w:t>
      </w:r>
      <w:r>
        <w:rPr>
          <w:rFonts w:hint="eastAsia"/>
          <w:color w:val="000000"/>
          <w:sz w:val="32"/>
          <w:szCs w:val="32"/>
        </w:rPr>
        <w:t>内设股室</w:t>
      </w:r>
      <w:r>
        <w:rPr>
          <w:rFonts w:hint="eastAsia"/>
          <w:color w:val="000000"/>
          <w:sz w:val="32"/>
          <w:szCs w:val="32"/>
        </w:rPr>
        <w:t>2</w:t>
      </w:r>
      <w:r>
        <w:rPr>
          <w:rFonts w:hint="eastAsia"/>
          <w:color w:val="000000"/>
          <w:sz w:val="32"/>
          <w:szCs w:val="32"/>
        </w:rPr>
        <w:t>个，</w:t>
      </w:r>
      <w:r>
        <w:rPr>
          <w:rFonts w:hint="eastAsia"/>
          <w:color w:val="000000"/>
          <w:sz w:val="32"/>
          <w:szCs w:val="32"/>
        </w:rPr>
        <w:t>下设</w:t>
      </w:r>
      <w:r>
        <w:rPr>
          <w:rFonts w:hint="eastAsia"/>
          <w:color w:val="000000"/>
          <w:sz w:val="32"/>
          <w:szCs w:val="32"/>
        </w:rPr>
        <w:t>6</w:t>
      </w:r>
      <w:r>
        <w:rPr>
          <w:rFonts w:hint="eastAsia"/>
          <w:color w:val="000000"/>
          <w:sz w:val="32"/>
          <w:szCs w:val="32"/>
        </w:rPr>
        <w:t>个社区卫生服务中心及</w:t>
      </w:r>
      <w:r>
        <w:rPr>
          <w:rFonts w:hint="eastAsia"/>
          <w:color w:val="000000"/>
          <w:sz w:val="32"/>
          <w:szCs w:val="32"/>
        </w:rPr>
        <w:t>1</w:t>
      </w:r>
      <w:r>
        <w:rPr>
          <w:rFonts w:hint="eastAsia"/>
          <w:color w:val="000000"/>
          <w:sz w:val="32"/>
          <w:szCs w:val="32"/>
        </w:rPr>
        <w:t>个镇卫生院，</w:t>
      </w:r>
      <w:r>
        <w:rPr>
          <w:rFonts w:hint="eastAsia"/>
          <w:color w:val="000000"/>
          <w:sz w:val="32"/>
          <w:szCs w:val="32"/>
        </w:rPr>
        <w:t>下属二级单位</w:t>
      </w:r>
      <w:r>
        <w:rPr>
          <w:rFonts w:hint="eastAsia"/>
          <w:color w:val="000000"/>
          <w:sz w:val="32"/>
          <w:szCs w:val="32"/>
        </w:rPr>
        <w:t>0</w:t>
      </w:r>
      <w:r>
        <w:rPr>
          <w:rFonts w:hint="eastAsia"/>
          <w:color w:val="000000"/>
          <w:sz w:val="32"/>
          <w:szCs w:val="32"/>
        </w:rPr>
        <w:t>个，</w:t>
      </w:r>
      <w:r>
        <w:rPr>
          <w:rFonts w:hint="eastAsia"/>
          <w:color w:val="000000"/>
          <w:sz w:val="32"/>
          <w:szCs w:val="32"/>
        </w:rPr>
        <w:lastRenderedPageBreak/>
        <w:t>其中行政单位</w:t>
      </w:r>
      <w:r>
        <w:rPr>
          <w:rFonts w:hint="eastAsia"/>
          <w:color w:val="000000"/>
          <w:sz w:val="32"/>
          <w:szCs w:val="32"/>
        </w:rPr>
        <w:t>0</w:t>
      </w:r>
      <w:r>
        <w:rPr>
          <w:rFonts w:hint="eastAsia"/>
          <w:color w:val="000000"/>
          <w:sz w:val="32"/>
          <w:szCs w:val="32"/>
        </w:rPr>
        <w:t>个，参照公务员法管理的事业单位</w:t>
      </w:r>
      <w:r>
        <w:rPr>
          <w:rFonts w:hint="eastAsia"/>
          <w:bCs/>
          <w:color w:val="000000"/>
          <w:sz w:val="32"/>
          <w:szCs w:val="32"/>
        </w:rPr>
        <w:t>0</w:t>
      </w:r>
      <w:r>
        <w:rPr>
          <w:rFonts w:hint="eastAsia"/>
          <w:color w:val="000000"/>
          <w:sz w:val="32"/>
          <w:szCs w:val="32"/>
        </w:rPr>
        <w:t>个（单位名称），其他事业单位</w:t>
      </w:r>
      <w:r>
        <w:rPr>
          <w:rFonts w:hint="eastAsia"/>
          <w:color w:val="000000"/>
          <w:sz w:val="32"/>
          <w:szCs w:val="32"/>
        </w:rPr>
        <w:t>0</w:t>
      </w:r>
      <w:r>
        <w:rPr>
          <w:rFonts w:hint="eastAsia"/>
          <w:color w:val="000000"/>
          <w:sz w:val="32"/>
          <w:szCs w:val="32"/>
        </w:rPr>
        <w:t>个。</w:t>
      </w:r>
    </w:p>
    <w:p w:rsidR="009F5036" w:rsidRDefault="00514D84">
      <w:pPr>
        <w:widowControl/>
        <w:jc w:val="left"/>
        <w:rPr>
          <w:rFonts w:ascii="仿宋" w:eastAsia="仿宋" w:hAnsi="仿宋"/>
          <w:color w:val="0000FF"/>
          <w:kern w:val="0"/>
          <w:sz w:val="32"/>
          <w:szCs w:val="32"/>
        </w:rPr>
      </w:pPr>
      <w:r>
        <w:rPr>
          <w:rFonts w:ascii="仿宋" w:eastAsia="仿宋" w:hAnsi="仿宋"/>
          <w:color w:val="0000FF"/>
          <w:sz w:val="32"/>
          <w:szCs w:val="32"/>
        </w:rPr>
        <w:br w:type="page"/>
      </w:r>
    </w:p>
    <w:p w:rsidR="009F5036" w:rsidRDefault="00514D84">
      <w:pPr>
        <w:pStyle w:val="1"/>
        <w:ind w:right="440"/>
        <w:jc w:val="right"/>
        <w:rPr>
          <w:rStyle w:val="10"/>
          <w:rFonts w:ascii="黑体" w:eastAsia="黑体" w:hAnsi="黑体"/>
        </w:rPr>
      </w:pPr>
      <w:bookmarkStart w:id="23" w:name="_Toc15396602"/>
      <w:bookmarkStart w:id="24" w:name="_Toc15377204"/>
      <w:r>
        <w:rPr>
          <w:rFonts w:ascii="黑体" w:eastAsia="黑体" w:hAnsi="黑体" w:hint="eastAsia"/>
          <w:b w:val="0"/>
        </w:rPr>
        <w:lastRenderedPageBreak/>
        <w:t>第二部分</w:t>
      </w:r>
      <w:r>
        <w:rPr>
          <w:rStyle w:val="10"/>
          <w:rFonts w:ascii="黑体" w:eastAsia="黑体" w:hAnsi="黑体" w:hint="eastAsia"/>
        </w:rPr>
        <w:t>2018</w:t>
      </w:r>
      <w:r>
        <w:rPr>
          <w:rStyle w:val="10"/>
          <w:rFonts w:ascii="黑体" w:eastAsia="黑体" w:hAnsi="黑体" w:hint="eastAsia"/>
        </w:rPr>
        <w:t>年度部门决算情况说明</w:t>
      </w:r>
      <w:bookmarkEnd w:id="23"/>
      <w:bookmarkEnd w:id="24"/>
    </w:p>
    <w:p w:rsidR="009F5036" w:rsidRDefault="009F5036"/>
    <w:p w:rsidR="009F5036" w:rsidRDefault="00514D84">
      <w:pPr>
        <w:pStyle w:val="a9"/>
        <w:numPr>
          <w:ilvl w:val="0"/>
          <w:numId w:val="1"/>
        </w:numPr>
        <w:spacing w:line="600" w:lineRule="exact"/>
        <w:ind w:firstLineChars="0"/>
        <w:outlineLvl w:val="1"/>
        <w:rPr>
          <w:rStyle w:val="20"/>
          <w:rFonts w:ascii="黑体" w:eastAsia="黑体" w:hAnsi="黑体"/>
          <w:b w:val="0"/>
        </w:rPr>
      </w:pPr>
      <w:bookmarkStart w:id="25" w:name="_Toc15377205"/>
      <w:bookmarkStart w:id="26" w:name="_Toc15396603"/>
      <w:r>
        <w:rPr>
          <w:rFonts w:ascii="黑体" w:eastAsia="黑体" w:hAnsi="黑体" w:hint="eastAsia"/>
          <w:sz w:val="32"/>
          <w:szCs w:val="32"/>
        </w:rPr>
        <w:t>收</w:t>
      </w:r>
      <w:r>
        <w:rPr>
          <w:rStyle w:val="20"/>
          <w:rFonts w:ascii="黑体" w:eastAsia="黑体" w:hAnsi="黑体" w:hint="eastAsia"/>
          <w:b w:val="0"/>
        </w:rPr>
        <w:t>入支出决算总体情况说明</w:t>
      </w:r>
      <w:bookmarkEnd w:id="25"/>
      <w:bookmarkEnd w:id="26"/>
    </w:p>
    <w:p w:rsidR="009F5036" w:rsidRDefault="00514D84">
      <w:pPr>
        <w:spacing w:line="600" w:lineRule="exact"/>
        <w:ind w:firstLineChars="200" w:firstLine="640"/>
        <w:rPr>
          <w:rFonts w:ascii="仿宋" w:eastAsia="仿宋" w:hAnsi="仿宋"/>
          <w:color w:val="0000FF"/>
          <w:sz w:val="32"/>
          <w:szCs w:val="32"/>
        </w:rPr>
      </w:pPr>
      <w:r>
        <w:rPr>
          <w:rFonts w:ascii="仿宋" w:eastAsia="仿宋" w:hAnsi="仿宋" w:hint="eastAsia"/>
          <w:sz w:val="32"/>
          <w:szCs w:val="32"/>
        </w:rPr>
        <w:t>2018</w:t>
      </w:r>
      <w:r>
        <w:rPr>
          <w:rFonts w:ascii="仿宋" w:eastAsia="仿宋" w:hAnsi="仿宋" w:hint="eastAsia"/>
          <w:sz w:val="32"/>
          <w:szCs w:val="32"/>
        </w:rPr>
        <w:t>年度收入</w:t>
      </w:r>
      <w:r>
        <w:rPr>
          <w:rFonts w:ascii="仿宋" w:eastAsia="仿宋" w:hAnsi="仿宋" w:hint="eastAsia"/>
          <w:sz w:val="32"/>
          <w:szCs w:val="32"/>
        </w:rPr>
        <w:t>1812.63</w:t>
      </w:r>
      <w:r>
        <w:rPr>
          <w:rFonts w:ascii="仿宋" w:eastAsia="仿宋" w:hAnsi="仿宋" w:hint="eastAsia"/>
          <w:sz w:val="32"/>
          <w:szCs w:val="32"/>
        </w:rPr>
        <w:t>万元，支出</w:t>
      </w:r>
      <w:r>
        <w:rPr>
          <w:rFonts w:ascii="仿宋" w:eastAsia="仿宋" w:hAnsi="仿宋" w:hint="eastAsia"/>
          <w:sz w:val="32"/>
          <w:szCs w:val="32"/>
        </w:rPr>
        <w:t>1836.52</w:t>
      </w:r>
      <w:r>
        <w:rPr>
          <w:rFonts w:ascii="仿宋" w:eastAsia="仿宋" w:hAnsi="仿宋" w:hint="eastAsia"/>
          <w:sz w:val="32"/>
          <w:szCs w:val="32"/>
        </w:rPr>
        <w:t>万元。与</w:t>
      </w:r>
      <w:r>
        <w:rPr>
          <w:rFonts w:ascii="仿宋" w:eastAsia="仿宋" w:hAnsi="仿宋" w:hint="eastAsia"/>
          <w:sz w:val="32"/>
          <w:szCs w:val="32"/>
        </w:rPr>
        <w:t>2017</w:t>
      </w:r>
      <w:r>
        <w:rPr>
          <w:rFonts w:ascii="仿宋" w:eastAsia="仿宋" w:hAnsi="仿宋" w:hint="eastAsia"/>
          <w:sz w:val="32"/>
          <w:szCs w:val="32"/>
        </w:rPr>
        <w:t>年相比，收入</w:t>
      </w:r>
      <w:r>
        <w:rPr>
          <w:rFonts w:ascii="仿宋" w:eastAsia="仿宋" w:hAnsi="仿宋" w:hint="eastAsia"/>
          <w:sz w:val="32"/>
          <w:szCs w:val="32"/>
        </w:rPr>
        <w:t>减少</w:t>
      </w:r>
      <w:r>
        <w:rPr>
          <w:rFonts w:ascii="仿宋" w:eastAsia="仿宋" w:hAnsi="仿宋" w:hint="eastAsia"/>
          <w:sz w:val="32"/>
          <w:szCs w:val="32"/>
        </w:rPr>
        <w:t>334.02</w:t>
      </w:r>
      <w:r>
        <w:rPr>
          <w:rFonts w:ascii="仿宋" w:eastAsia="仿宋" w:hAnsi="仿宋" w:hint="eastAsia"/>
          <w:sz w:val="32"/>
          <w:szCs w:val="32"/>
        </w:rPr>
        <w:t>万元，</w:t>
      </w:r>
      <w:r>
        <w:rPr>
          <w:rFonts w:ascii="仿宋" w:eastAsia="仿宋" w:hAnsi="仿宋" w:hint="eastAsia"/>
          <w:sz w:val="32"/>
          <w:szCs w:val="32"/>
        </w:rPr>
        <w:t>减少</w:t>
      </w:r>
      <w:r>
        <w:rPr>
          <w:rFonts w:ascii="仿宋" w:eastAsia="仿宋" w:hAnsi="仿宋" w:hint="eastAsia"/>
          <w:sz w:val="32"/>
          <w:szCs w:val="32"/>
        </w:rPr>
        <w:t>15.56</w:t>
      </w:r>
      <w:r>
        <w:rPr>
          <w:rFonts w:ascii="仿宋" w:eastAsia="仿宋" w:hAnsi="仿宋" w:hint="eastAsia"/>
          <w:sz w:val="32"/>
          <w:szCs w:val="32"/>
        </w:rPr>
        <w:t>%</w:t>
      </w:r>
      <w:r>
        <w:rPr>
          <w:rFonts w:ascii="仿宋" w:eastAsia="仿宋" w:hAnsi="仿宋" w:hint="eastAsia"/>
          <w:sz w:val="32"/>
          <w:szCs w:val="32"/>
        </w:rPr>
        <w:t>；支出</w:t>
      </w:r>
      <w:r>
        <w:rPr>
          <w:rFonts w:ascii="仿宋" w:eastAsia="仿宋" w:hAnsi="仿宋" w:hint="eastAsia"/>
          <w:sz w:val="32"/>
          <w:szCs w:val="32"/>
        </w:rPr>
        <w:t>减少</w:t>
      </w:r>
      <w:r>
        <w:rPr>
          <w:rFonts w:ascii="仿宋" w:eastAsia="仿宋" w:hAnsi="仿宋" w:hint="eastAsia"/>
          <w:sz w:val="32"/>
          <w:szCs w:val="32"/>
        </w:rPr>
        <w:t>961.89</w:t>
      </w:r>
      <w:r>
        <w:rPr>
          <w:rFonts w:ascii="仿宋" w:eastAsia="仿宋" w:hAnsi="仿宋" w:hint="eastAsia"/>
          <w:sz w:val="32"/>
          <w:szCs w:val="32"/>
        </w:rPr>
        <w:t>万元，</w:t>
      </w:r>
      <w:r>
        <w:rPr>
          <w:rFonts w:ascii="仿宋" w:eastAsia="仿宋" w:hAnsi="仿宋" w:hint="eastAsia"/>
          <w:sz w:val="32"/>
          <w:szCs w:val="32"/>
        </w:rPr>
        <w:t>减少</w:t>
      </w:r>
      <w:r>
        <w:rPr>
          <w:rFonts w:ascii="仿宋" w:eastAsia="仿宋" w:hAnsi="仿宋" w:hint="eastAsia"/>
          <w:sz w:val="32"/>
          <w:szCs w:val="32"/>
        </w:rPr>
        <w:t>34.37</w:t>
      </w:r>
      <w:r>
        <w:rPr>
          <w:rFonts w:ascii="仿宋" w:eastAsia="仿宋" w:hAnsi="仿宋"/>
          <w:sz w:val="32"/>
          <w:szCs w:val="32"/>
        </w:rPr>
        <w:t>%</w:t>
      </w:r>
      <w:r>
        <w:rPr>
          <w:rFonts w:ascii="仿宋" w:eastAsia="仿宋" w:hAnsi="仿宋" w:hint="eastAsia"/>
          <w:sz w:val="32"/>
          <w:szCs w:val="32"/>
        </w:rPr>
        <w:t>。收入支出</w:t>
      </w:r>
      <w:r>
        <w:rPr>
          <w:rFonts w:ascii="仿宋" w:eastAsia="仿宋" w:hAnsi="仿宋" w:hint="eastAsia"/>
          <w:sz w:val="32"/>
          <w:szCs w:val="32"/>
        </w:rPr>
        <w:t>减少</w:t>
      </w:r>
      <w:r>
        <w:rPr>
          <w:rFonts w:ascii="仿宋" w:eastAsia="仿宋" w:hAnsi="仿宋" w:hint="eastAsia"/>
          <w:sz w:val="32"/>
          <w:szCs w:val="32"/>
        </w:rPr>
        <w:t>的主要原因</w:t>
      </w:r>
      <w:r>
        <w:rPr>
          <w:rFonts w:ascii="仿宋_GB2312" w:eastAsia="仿宋_GB2312" w:hAnsi="宋体" w:cs="仿宋_GB2312" w:hint="eastAsia"/>
          <w:color w:val="000000"/>
          <w:sz w:val="32"/>
          <w:szCs w:val="32"/>
          <w:shd w:val="clear" w:color="auto" w:fill="FFFFFF"/>
        </w:rPr>
        <w:t>基层医疗机构人员经费减少</w:t>
      </w:r>
      <w:r>
        <w:rPr>
          <w:rFonts w:ascii="仿宋_GB2312" w:eastAsia="仿宋_GB2312" w:hAnsi="仿宋" w:hint="eastAsia"/>
          <w:color w:val="0000FF"/>
          <w:sz w:val="32"/>
          <w:szCs w:val="32"/>
        </w:rPr>
        <w:t>。</w:t>
      </w:r>
    </w:p>
    <w:p w:rsidR="009F5036" w:rsidRDefault="00514D84">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9F5036" w:rsidRDefault="00514D84">
      <w:pPr>
        <w:spacing w:line="600" w:lineRule="exact"/>
        <w:ind w:firstLineChars="200" w:firstLine="420"/>
        <w:jc w:val="left"/>
        <w:rPr>
          <w:rFonts w:ascii="仿宋_GB2312" w:eastAsia="仿宋_GB2312"/>
          <w:color w:val="0000FF"/>
          <w:sz w:val="32"/>
          <w:szCs w:val="32"/>
        </w:rPr>
      </w:pPr>
      <w:r>
        <w:rPr>
          <w:noProof/>
        </w:rPr>
        <w:drawing>
          <wp:anchor distT="0" distB="0" distL="114300" distR="114300" simplePos="0" relativeHeight="251666432" behindDoc="1" locked="0" layoutInCell="1" allowOverlap="1">
            <wp:simplePos x="0" y="0"/>
            <wp:positionH relativeFrom="column">
              <wp:posOffset>461645</wp:posOffset>
            </wp:positionH>
            <wp:positionV relativeFrom="paragraph">
              <wp:posOffset>208915</wp:posOffset>
            </wp:positionV>
            <wp:extent cx="3714750" cy="1978660"/>
            <wp:effectExtent l="5080" t="4445" r="13970" b="74295"/>
            <wp:wrapTight wrapText="bothSides">
              <wp:wrapPolygon edited="0">
                <wp:start x="-30" y="-49"/>
                <wp:lineTo x="-30" y="21371"/>
                <wp:lineTo x="21570" y="21371"/>
                <wp:lineTo x="21570" y="-49"/>
                <wp:lineTo x="-30" y="-49"/>
              </wp:wrapPolygon>
            </wp:wrapTight>
            <wp:docPr id="51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9F5036" w:rsidRDefault="009F5036">
      <w:pPr>
        <w:spacing w:line="600" w:lineRule="exact"/>
        <w:ind w:firstLineChars="200" w:firstLine="640"/>
        <w:jc w:val="left"/>
        <w:rPr>
          <w:rFonts w:ascii="仿宋_GB2312" w:eastAsia="仿宋_GB2312"/>
          <w:color w:val="0000FF"/>
          <w:sz w:val="32"/>
          <w:szCs w:val="32"/>
        </w:rPr>
      </w:pPr>
    </w:p>
    <w:p w:rsidR="009F5036" w:rsidRDefault="009F5036">
      <w:pPr>
        <w:spacing w:line="600" w:lineRule="exact"/>
        <w:ind w:firstLineChars="200" w:firstLine="640"/>
        <w:jc w:val="left"/>
        <w:rPr>
          <w:rFonts w:ascii="仿宋_GB2312" w:eastAsia="仿宋_GB2312"/>
          <w:color w:val="0000FF"/>
          <w:sz w:val="32"/>
          <w:szCs w:val="32"/>
        </w:rPr>
      </w:pPr>
    </w:p>
    <w:p w:rsidR="009F5036" w:rsidRDefault="009F5036">
      <w:pPr>
        <w:spacing w:line="600" w:lineRule="exact"/>
        <w:ind w:firstLineChars="200" w:firstLine="640"/>
        <w:jc w:val="left"/>
        <w:rPr>
          <w:rFonts w:ascii="仿宋_GB2312" w:eastAsia="仿宋_GB2312"/>
          <w:color w:val="0000FF"/>
          <w:sz w:val="32"/>
          <w:szCs w:val="32"/>
        </w:rPr>
      </w:pPr>
    </w:p>
    <w:p w:rsidR="009F5036" w:rsidRDefault="009F5036">
      <w:pPr>
        <w:spacing w:line="600" w:lineRule="exact"/>
        <w:ind w:firstLineChars="200" w:firstLine="640"/>
        <w:jc w:val="left"/>
        <w:rPr>
          <w:rFonts w:ascii="仿宋_GB2312" w:eastAsia="仿宋_GB2312"/>
          <w:color w:val="0000FF"/>
          <w:sz w:val="32"/>
          <w:szCs w:val="32"/>
        </w:rPr>
      </w:pPr>
    </w:p>
    <w:p w:rsidR="009F5036" w:rsidRDefault="009F5036">
      <w:pPr>
        <w:spacing w:line="600" w:lineRule="exact"/>
        <w:jc w:val="left"/>
        <w:rPr>
          <w:rFonts w:ascii="仿宋_GB2312" w:eastAsia="仿宋_GB2312"/>
          <w:color w:val="0000FF"/>
          <w:sz w:val="32"/>
          <w:szCs w:val="32"/>
        </w:rPr>
      </w:pPr>
    </w:p>
    <w:p w:rsidR="009F5036" w:rsidRDefault="00514D84">
      <w:pPr>
        <w:spacing w:line="600" w:lineRule="exact"/>
        <w:jc w:val="left"/>
        <w:rPr>
          <w:rFonts w:ascii="仿宋_GB2312" w:eastAsia="仿宋_GB2312"/>
          <w:color w:val="0000FF"/>
          <w:sz w:val="32"/>
          <w:szCs w:val="32"/>
        </w:rPr>
      </w:pPr>
      <w:r>
        <w:rPr>
          <w:noProof/>
        </w:rPr>
        <w:drawing>
          <wp:anchor distT="0" distB="0" distL="114300" distR="114300" simplePos="0" relativeHeight="251667456" behindDoc="0" locked="0" layoutInCell="1" allowOverlap="1">
            <wp:simplePos x="0" y="0"/>
            <wp:positionH relativeFrom="column">
              <wp:posOffset>480060</wp:posOffset>
            </wp:positionH>
            <wp:positionV relativeFrom="paragraph">
              <wp:posOffset>33020</wp:posOffset>
            </wp:positionV>
            <wp:extent cx="3716655" cy="2007870"/>
            <wp:effectExtent l="4445" t="4445" r="12700" b="6985"/>
            <wp:wrapSquare wrapText="bothSides"/>
            <wp:docPr id="513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9F5036" w:rsidRDefault="009F5036">
      <w:pPr>
        <w:spacing w:line="600" w:lineRule="exact"/>
        <w:jc w:val="left"/>
        <w:rPr>
          <w:rFonts w:ascii="仿宋_GB2312" w:eastAsia="仿宋_GB2312"/>
          <w:color w:val="0000FF"/>
          <w:sz w:val="32"/>
          <w:szCs w:val="32"/>
        </w:rPr>
      </w:pPr>
    </w:p>
    <w:p w:rsidR="009F5036" w:rsidRDefault="009F5036">
      <w:pPr>
        <w:spacing w:line="600" w:lineRule="exact"/>
        <w:jc w:val="left"/>
        <w:rPr>
          <w:rFonts w:ascii="仿宋_GB2312" w:eastAsia="仿宋_GB2312"/>
          <w:color w:val="0000FF"/>
          <w:sz w:val="32"/>
          <w:szCs w:val="32"/>
        </w:rPr>
      </w:pPr>
    </w:p>
    <w:p w:rsidR="009F5036" w:rsidRDefault="009F5036">
      <w:pPr>
        <w:spacing w:line="600" w:lineRule="exact"/>
        <w:jc w:val="left"/>
        <w:rPr>
          <w:rFonts w:ascii="仿宋_GB2312" w:eastAsia="仿宋_GB2312"/>
          <w:color w:val="0000FF"/>
          <w:sz w:val="32"/>
          <w:szCs w:val="32"/>
        </w:rPr>
      </w:pPr>
    </w:p>
    <w:p w:rsidR="009F5036" w:rsidRDefault="009F5036">
      <w:pPr>
        <w:spacing w:line="600" w:lineRule="exact"/>
        <w:jc w:val="left"/>
        <w:rPr>
          <w:rFonts w:ascii="仿宋_GB2312" w:eastAsia="仿宋_GB2312"/>
          <w:color w:val="0000FF"/>
          <w:sz w:val="32"/>
          <w:szCs w:val="32"/>
        </w:rPr>
      </w:pPr>
    </w:p>
    <w:p w:rsidR="009F5036" w:rsidRDefault="00514D84">
      <w:pPr>
        <w:pStyle w:val="a9"/>
        <w:numPr>
          <w:ilvl w:val="0"/>
          <w:numId w:val="1"/>
        </w:numPr>
        <w:spacing w:line="600" w:lineRule="exact"/>
        <w:ind w:firstLineChars="0"/>
        <w:outlineLvl w:val="1"/>
        <w:rPr>
          <w:rStyle w:val="20"/>
          <w:rFonts w:ascii="黑体" w:eastAsia="黑体" w:hAnsi="黑体"/>
          <w:b w:val="0"/>
        </w:rPr>
      </w:pPr>
      <w:bookmarkStart w:id="27" w:name="_Toc15377206"/>
      <w:bookmarkStart w:id="28" w:name="_Toc15396604"/>
      <w:r>
        <w:rPr>
          <w:rFonts w:ascii="黑体" w:eastAsia="黑体" w:hAnsi="黑体" w:hint="eastAsia"/>
          <w:sz w:val="32"/>
          <w:szCs w:val="32"/>
        </w:rPr>
        <w:t>收</w:t>
      </w:r>
      <w:r>
        <w:rPr>
          <w:rStyle w:val="20"/>
          <w:rFonts w:ascii="黑体" w:eastAsia="黑体" w:hAnsi="黑体" w:hint="eastAsia"/>
          <w:b w:val="0"/>
        </w:rPr>
        <w:t>入决算情况说明</w:t>
      </w:r>
      <w:bookmarkEnd w:id="27"/>
      <w:bookmarkEnd w:id="28"/>
    </w:p>
    <w:p w:rsidR="009F5036" w:rsidRDefault="00514D84">
      <w:pPr>
        <w:spacing w:line="600" w:lineRule="exact"/>
        <w:ind w:firstLineChars="200" w:firstLine="640"/>
        <w:outlineLvl w:val="1"/>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年本年收入合计</w:t>
      </w:r>
      <w:r>
        <w:rPr>
          <w:rFonts w:ascii="仿宋" w:eastAsia="仿宋" w:hAnsi="仿宋" w:hint="eastAsia"/>
          <w:sz w:val="32"/>
          <w:szCs w:val="32"/>
        </w:rPr>
        <w:t>1812.63</w:t>
      </w:r>
      <w:r>
        <w:rPr>
          <w:rFonts w:ascii="仿宋" w:eastAsia="仿宋" w:hAnsi="仿宋" w:hint="eastAsia"/>
          <w:sz w:val="32"/>
          <w:szCs w:val="32"/>
        </w:rPr>
        <w:t>万元，其中：一般公共预</w:t>
      </w:r>
      <w:r>
        <w:rPr>
          <w:rFonts w:ascii="仿宋" w:eastAsia="仿宋" w:hAnsi="仿宋" w:hint="eastAsia"/>
          <w:sz w:val="32"/>
          <w:szCs w:val="32"/>
        </w:rPr>
        <w:lastRenderedPageBreak/>
        <w:t>算财政拨款收入</w:t>
      </w:r>
      <w:r>
        <w:rPr>
          <w:rFonts w:ascii="仿宋" w:eastAsia="仿宋" w:hAnsi="仿宋" w:hint="eastAsia"/>
          <w:sz w:val="32"/>
          <w:szCs w:val="32"/>
        </w:rPr>
        <w:t>1812.02</w:t>
      </w:r>
      <w:r>
        <w:rPr>
          <w:rFonts w:ascii="仿宋" w:eastAsia="仿宋" w:hAnsi="仿宋" w:hint="eastAsia"/>
          <w:sz w:val="32"/>
          <w:szCs w:val="32"/>
        </w:rPr>
        <w:t>万元，占</w:t>
      </w:r>
      <w:r>
        <w:rPr>
          <w:rFonts w:ascii="仿宋" w:eastAsia="仿宋" w:hAnsi="仿宋" w:hint="eastAsia"/>
          <w:sz w:val="32"/>
          <w:szCs w:val="32"/>
        </w:rPr>
        <w:t>99.97</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hint="eastAsia"/>
          <w:sz w:val="32"/>
          <w:szCs w:val="32"/>
        </w:rPr>
        <w:t>0.</w:t>
      </w:r>
      <w:r>
        <w:rPr>
          <w:rFonts w:ascii="仿宋" w:eastAsia="仿宋" w:hAnsi="仿宋" w:hint="eastAsia"/>
          <w:sz w:val="32"/>
          <w:szCs w:val="32"/>
        </w:rPr>
        <w:t>61</w:t>
      </w:r>
      <w:r>
        <w:rPr>
          <w:rFonts w:ascii="仿宋" w:eastAsia="仿宋" w:hAnsi="仿宋" w:hint="eastAsia"/>
          <w:sz w:val="32"/>
          <w:szCs w:val="32"/>
        </w:rPr>
        <w:t>万元，占</w:t>
      </w:r>
      <w:r>
        <w:rPr>
          <w:rFonts w:ascii="仿宋" w:eastAsia="仿宋" w:hAnsi="仿宋" w:hint="eastAsia"/>
          <w:sz w:val="32"/>
          <w:szCs w:val="32"/>
        </w:rPr>
        <w:t>0.03</w:t>
      </w:r>
      <w:r>
        <w:rPr>
          <w:rFonts w:ascii="仿宋" w:eastAsia="仿宋" w:hAnsi="仿宋"/>
          <w:sz w:val="32"/>
          <w:szCs w:val="32"/>
        </w:rPr>
        <w:t>%</w:t>
      </w:r>
      <w:r>
        <w:rPr>
          <w:rFonts w:ascii="仿宋" w:eastAsia="仿宋" w:hAnsi="仿宋" w:hint="eastAsia"/>
          <w:sz w:val="32"/>
          <w:szCs w:val="32"/>
        </w:rPr>
        <w:t>。</w:t>
      </w:r>
    </w:p>
    <w:p w:rsidR="009F5036" w:rsidRDefault="00514D84">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：收入决算结构图）（饼状图）</w:t>
      </w:r>
    </w:p>
    <w:p w:rsidR="009F5036" w:rsidRDefault="00514D84">
      <w:pPr>
        <w:spacing w:line="600" w:lineRule="exact"/>
        <w:ind w:firstLineChars="200" w:firstLine="420"/>
        <w:rPr>
          <w:rFonts w:ascii="仿宋" w:eastAsia="仿宋" w:hAnsi="仿宋"/>
          <w:color w:val="0000FF"/>
          <w:sz w:val="32"/>
          <w:szCs w:val="32"/>
        </w:rPr>
      </w:pPr>
      <w:r>
        <w:rPr>
          <w:noProof/>
          <w:color w:val="0000FF"/>
        </w:rPr>
        <w:drawing>
          <wp:anchor distT="0" distB="0" distL="114300" distR="114300" simplePos="0" relativeHeight="251658240" behindDoc="0" locked="0" layoutInCell="1" allowOverlap="1">
            <wp:simplePos x="0" y="0"/>
            <wp:positionH relativeFrom="column">
              <wp:posOffset>333375</wp:posOffset>
            </wp:positionH>
            <wp:positionV relativeFrom="paragraph">
              <wp:posOffset>198120</wp:posOffset>
            </wp:positionV>
            <wp:extent cx="4105275" cy="2019300"/>
            <wp:effectExtent l="0" t="0" r="0" b="0"/>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0"/>
                    <a:stretch>
                      <a:fillRect/>
                    </a:stretch>
                  </pic:blipFill>
                  <pic:spPr>
                    <a:xfrm>
                      <a:off x="0" y="0"/>
                      <a:ext cx="4105275" cy="2019300"/>
                    </a:xfrm>
                    <a:prstGeom prst="rect">
                      <a:avLst/>
                    </a:prstGeom>
                    <a:noFill/>
                    <a:ln>
                      <a:noFill/>
                    </a:ln>
                  </pic:spPr>
                </pic:pic>
              </a:graphicData>
            </a:graphic>
          </wp:anchor>
        </w:drawing>
      </w:r>
    </w:p>
    <w:p w:rsidR="009F5036" w:rsidRDefault="009F5036">
      <w:pPr>
        <w:spacing w:line="600" w:lineRule="exact"/>
        <w:ind w:firstLineChars="200" w:firstLine="640"/>
        <w:rPr>
          <w:rFonts w:ascii="仿宋" w:eastAsia="仿宋" w:hAnsi="仿宋"/>
          <w:color w:val="0000FF"/>
          <w:sz w:val="32"/>
          <w:szCs w:val="32"/>
        </w:rPr>
      </w:pPr>
    </w:p>
    <w:p w:rsidR="009F5036" w:rsidRDefault="009F5036">
      <w:pPr>
        <w:spacing w:line="600" w:lineRule="exact"/>
        <w:ind w:firstLineChars="200" w:firstLine="640"/>
        <w:rPr>
          <w:rFonts w:ascii="仿宋_GB2312" w:eastAsia="仿宋_GB2312"/>
          <w:color w:val="0000FF"/>
          <w:sz w:val="32"/>
          <w:szCs w:val="32"/>
        </w:rPr>
      </w:pPr>
    </w:p>
    <w:p w:rsidR="009F5036" w:rsidRDefault="009F5036">
      <w:pPr>
        <w:spacing w:line="600" w:lineRule="exact"/>
        <w:ind w:firstLineChars="200" w:firstLine="640"/>
        <w:rPr>
          <w:rFonts w:ascii="仿宋_GB2312" w:eastAsia="仿宋_GB2312"/>
          <w:color w:val="0000FF"/>
          <w:sz w:val="32"/>
          <w:szCs w:val="32"/>
        </w:rPr>
      </w:pPr>
    </w:p>
    <w:p w:rsidR="009F5036" w:rsidRDefault="009F5036">
      <w:pPr>
        <w:spacing w:line="600" w:lineRule="exact"/>
        <w:ind w:firstLineChars="200" w:firstLine="640"/>
        <w:rPr>
          <w:rFonts w:ascii="仿宋_GB2312" w:eastAsia="仿宋_GB2312"/>
          <w:color w:val="0000FF"/>
          <w:sz w:val="32"/>
          <w:szCs w:val="32"/>
        </w:rPr>
      </w:pPr>
    </w:p>
    <w:p w:rsidR="009F5036" w:rsidRDefault="009F5036">
      <w:pPr>
        <w:spacing w:line="600" w:lineRule="exact"/>
        <w:ind w:firstLineChars="200" w:firstLine="640"/>
        <w:rPr>
          <w:rFonts w:ascii="仿宋_GB2312" w:eastAsia="仿宋_GB2312"/>
          <w:color w:val="0000FF"/>
          <w:sz w:val="32"/>
          <w:szCs w:val="32"/>
        </w:rPr>
      </w:pPr>
    </w:p>
    <w:p w:rsidR="009F5036" w:rsidRDefault="00514D84">
      <w:pPr>
        <w:pStyle w:val="a9"/>
        <w:numPr>
          <w:ilvl w:val="0"/>
          <w:numId w:val="1"/>
        </w:numPr>
        <w:spacing w:line="600" w:lineRule="exact"/>
        <w:ind w:firstLineChars="0"/>
        <w:outlineLvl w:val="1"/>
        <w:rPr>
          <w:rStyle w:val="20"/>
          <w:rFonts w:ascii="黑体" w:eastAsia="黑体" w:hAnsi="黑体"/>
          <w:b w:val="0"/>
        </w:rPr>
      </w:pPr>
      <w:bookmarkStart w:id="29" w:name="_Toc15377207"/>
      <w:bookmarkStart w:id="30" w:name="_Toc15396605"/>
      <w:r>
        <w:rPr>
          <w:rFonts w:ascii="黑体" w:eastAsia="黑体" w:hAnsi="黑体" w:hint="eastAsia"/>
          <w:sz w:val="32"/>
          <w:szCs w:val="32"/>
        </w:rPr>
        <w:t>支</w:t>
      </w:r>
      <w:r>
        <w:rPr>
          <w:rStyle w:val="20"/>
          <w:rFonts w:ascii="黑体" w:eastAsia="黑体" w:hAnsi="黑体" w:hint="eastAsia"/>
          <w:b w:val="0"/>
        </w:rPr>
        <w:t>出决算情况说明</w:t>
      </w:r>
      <w:bookmarkEnd w:id="29"/>
      <w:bookmarkEnd w:id="30"/>
    </w:p>
    <w:p w:rsidR="009F5036" w:rsidRDefault="00514D84">
      <w:pPr>
        <w:spacing w:line="600" w:lineRule="exact"/>
        <w:ind w:firstLine="640"/>
        <w:rPr>
          <w:rFonts w:ascii="仿宋" w:eastAsia="仿宋" w:hAnsi="仿宋"/>
          <w:sz w:val="32"/>
          <w:szCs w:val="32"/>
          <w:shd w:val="pct10" w:color="auto" w:fill="FFFFFF"/>
        </w:rPr>
      </w:pPr>
      <w:r>
        <w:rPr>
          <w:noProof/>
        </w:rPr>
        <w:drawing>
          <wp:anchor distT="0" distB="0" distL="114300" distR="114300" simplePos="0" relativeHeight="251668480" behindDoc="1" locked="0" layoutInCell="1" allowOverlap="1">
            <wp:simplePos x="0" y="0"/>
            <wp:positionH relativeFrom="column">
              <wp:posOffset>357505</wp:posOffset>
            </wp:positionH>
            <wp:positionV relativeFrom="paragraph">
              <wp:posOffset>1474470</wp:posOffset>
            </wp:positionV>
            <wp:extent cx="4105275" cy="2019300"/>
            <wp:effectExtent l="4445" t="4445" r="5080" b="14605"/>
            <wp:wrapTight wrapText="bothSides">
              <wp:wrapPolygon edited="0">
                <wp:start x="-23" y="-48"/>
                <wp:lineTo x="-23" y="21552"/>
                <wp:lineTo x="21526" y="21552"/>
                <wp:lineTo x="21526" y="-48"/>
                <wp:lineTo x="-23" y="-48"/>
              </wp:wrapPolygon>
            </wp:wrapTight>
            <wp:docPr id="207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年本年支出合计</w:t>
      </w:r>
      <w:r>
        <w:rPr>
          <w:rFonts w:ascii="仿宋" w:eastAsia="仿宋" w:hAnsi="仿宋" w:hint="eastAsia"/>
          <w:sz w:val="32"/>
          <w:szCs w:val="32"/>
        </w:rPr>
        <w:t>1836.52</w:t>
      </w:r>
      <w:r>
        <w:rPr>
          <w:rFonts w:ascii="仿宋" w:eastAsia="仿宋" w:hAnsi="仿宋" w:hint="eastAsia"/>
          <w:sz w:val="32"/>
          <w:szCs w:val="32"/>
        </w:rPr>
        <w:t>万元，其中：基本支出</w:t>
      </w:r>
      <w:r>
        <w:rPr>
          <w:rFonts w:ascii="仿宋" w:eastAsia="仿宋" w:hAnsi="仿宋" w:hint="eastAsia"/>
          <w:sz w:val="32"/>
          <w:szCs w:val="32"/>
        </w:rPr>
        <w:t>272.94</w:t>
      </w:r>
      <w:r>
        <w:rPr>
          <w:rFonts w:ascii="仿宋" w:eastAsia="仿宋" w:hAnsi="仿宋" w:hint="eastAsia"/>
          <w:sz w:val="32"/>
          <w:szCs w:val="32"/>
        </w:rPr>
        <w:t>万元，占</w:t>
      </w:r>
      <w:r>
        <w:rPr>
          <w:rFonts w:ascii="仿宋" w:eastAsia="仿宋" w:hAnsi="仿宋" w:hint="eastAsia"/>
          <w:sz w:val="32"/>
          <w:szCs w:val="32"/>
        </w:rPr>
        <w:t>14.86</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1563.58</w:t>
      </w:r>
      <w:r>
        <w:rPr>
          <w:rFonts w:ascii="仿宋" w:eastAsia="仿宋" w:hAnsi="仿宋" w:hint="eastAsia"/>
          <w:sz w:val="32"/>
          <w:szCs w:val="32"/>
        </w:rPr>
        <w:t>万元，占</w:t>
      </w:r>
      <w:r>
        <w:rPr>
          <w:rFonts w:ascii="仿宋" w:eastAsia="仿宋" w:hAnsi="仿宋" w:hint="eastAsia"/>
          <w:sz w:val="32"/>
          <w:szCs w:val="32"/>
        </w:rPr>
        <w:t>85.14</w:t>
      </w:r>
      <w:r>
        <w:rPr>
          <w:rFonts w:ascii="仿宋" w:eastAsia="仿宋" w:hAnsi="仿宋"/>
          <w:sz w:val="32"/>
          <w:szCs w:val="32"/>
        </w:rPr>
        <w:t>%</w:t>
      </w:r>
      <w:r>
        <w:rPr>
          <w:rFonts w:ascii="仿宋" w:eastAsia="仿宋" w:hAnsi="仿宋" w:hint="eastAsia"/>
          <w:sz w:val="32"/>
          <w:szCs w:val="32"/>
        </w:rPr>
        <w:t>。</w:t>
      </w:r>
    </w:p>
    <w:p w:rsidR="009F5036" w:rsidRDefault="00514D84">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：支出决算结构图）（饼状图）</w:t>
      </w:r>
    </w:p>
    <w:p w:rsidR="009F5036" w:rsidRDefault="009F5036">
      <w:pPr>
        <w:spacing w:line="600" w:lineRule="exact"/>
        <w:ind w:firstLineChars="200" w:firstLine="640"/>
        <w:rPr>
          <w:rFonts w:ascii="仿宋" w:eastAsia="仿宋" w:hAnsi="仿宋"/>
          <w:color w:val="0000FF"/>
          <w:sz w:val="32"/>
          <w:szCs w:val="32"/>
        </w:rPr>
      </w:pPr>
    </w:p>
    <w:p w:rsidR="009F5036" w:rsidRDefault="009F5036">
      <w:pPr>
        <w:spacing w:line="600" w:lineRule="exact"/>
        <w:ind w:firstLineChars="200" w:firstLine="640"/>
        <w:rPr>
          <w:rFonts w:ascii="仿宋" w:eastAsia="仿宋" w:hAnsi="仿宋"/>
          <w:color w:val="0000FF"/>
          <w:sz w:val="32"/>
          <w:szCs w:val="32"/>
        </w:rPr>
      </w:pPr>
    </w:p>
    <w:p w:rsidR="009F5036" w:rsidRDefault="009F5036">
      <w:pPr>
        <w:spacing w:line="600" w:lineRule="exact"/>
        <w:ind w:firstLineChars="200" w:firstLine="640"/>
        <w:rPr>
          <w:rFonts w:ascii="仿宋" w:eastAsia="仿宋" w:hAnsi="仿宋"/>
          <w:color w:val="0000FF"/>
          <w:sz w:val="32"/>
          <w:szCs w:val="32"/>
        </w:rPr>
      </w:pPr>
    </w:p>
    <w:p w:rsidR="009F5036" w:rsidRDefault="009F5036">
      <w:pPr>
        <w:spacing w:line="600" w:lineRule="exact"/>
        <w:ind w:firstLineChars="200" w:firstLine="640"/>
        <w:rPr>
          <w:rFonts w:ascii="仿宋" w:eastAsia="仿宋" w:hAnsi="仿宋"/>
          <w:color w:val="0000FF"/>
          <w:sz w:val="32"/>
          <w:szCs w:val="32"/>
        </w:rPr>
      </w:pPr>
    </w:p>
    <w:p w:rsidR="009F5036" w:rsidRDefault="009F5036">
      <w:pPr>
        <w:spacing w:line="600" w:lineRule="exact"/>
        <w:ind w:firstLineChars="200" w:firstLine="640"/>
        <w:rPr>
          <w:rFonts w:ascii="仿宋" w:eastAsia="仿宋" w:hAnsi="仿宋"/>
          <w:color w:val="0000FF"/>
          <w:sz w:val="32"/>
          <w:szCs w:val="32"/>
        </w:rPr>
      </w:pPr>
    </w:p>
    <w:p w:rsidR="009F5036" w:rsidRDefault="009F5036">
      <w:pPr>
        <w:spacing w:line="600" w:lineRule="exact"/>
        <w:ind w:firstLineChars="200" w:firstLine="640"/>
        <w:rPr>
          <w:rFonts w:ascii="仿宋" w:eastAsia="仿宋" w:hAnsi="仿宋"/>
          <w:color w:val="0000FF"/>
          <w:sz w:val="32"/>
          <w:szCs w:val="32"/>
        </w:rPr>
      </w:pPr>
    </w:p>
    <w:p w:rsidR="009F5036" w:rsidRDefault="00514D84">
      <w:pPr>
        <w:spacing w:line="600" w:lineRule="exact"/>
        <w:ind w:firstLineChars="200" w:firstLine="640"/>
        <w:outlineLvl w:val="1"/>
        <w:rPr>
          <w:rStyle w:val="20"/>
          <w:rFonts w:ascii="黑体" w:eastAsia="黑体" w:hAnsi="黑体"/>
          <w:b w:val="0"/>
          <w:color w:val="000000" w:themeColor="text1"/>
        </w:rPr>
      </w:pPr>
      <w:bookmarkStart w:id="31" w:name="_Toc15396606"/>
      <w:bookmarkStart w:id="32" w:name="_Toc15377208"/>
      <w:r>
        <w:rPr>
          <w:rFonts w:ascii="黑体" w:eastAsia="黑体" w:hAnsi="黑体" w:hint="eastAsia"/>
          <w:color w:val="000000" w:themeColor="text1"/>
          <w:sz w:val="32"/>
          <w:szCs w:val="32"/>
        </w:rPr>
        <w:t>四、财</w:t>
      </w:r>
      <w:r>
        <w:rPr>
          <w:rStyle w:val="20"/>
          <w:rFonts w:ascii="黑体" w:eastAsia="黑体" w:hAnsi="黑体" w:hint="eastAsia"/>
          <w:b w:val="0"/>
          <w:color w:val="000000" w:themeColor="text1"/>
        </w:rPr>
        <w:t>政拨款收入支出决算总体情况说明</w:t>
      </w:r>
      <w:bookmarkEnd w:id="31"/>
      <w:bookmarkEnd w:id="32"/>
    </w:p>
    <w:p w:rsidR="009F5036" w:rsidRDefault="00514D84">
      <w:pPr>
        <w:snapToGrid w:val="0"/>
        <w:spacing w:line="520" w:lineRule="exact"/>
        <w:ind w:firstLineChars="200" w:firstLine="640"/>
        <w:rPr>
          <w:rFonts w:ascii="仿宋" w:eastAsia="仿宋" w:hAnsi="仿宋"/>
          <w:color w:val="0000FF"/>
          <w:sz w:val="32"/>
          <w:szCs w:val="32"/>
        </w:rPr>
      </w:pP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年财政拨款收、支总计</w:t>
      </w:r>
      <w:r>
        <w:rPr>
          <w:rFonts w:ascii="仿宋" w:eastAsia="仿宋" w:hAnsi="仿宋" w:hint="eastAsia"/>
          <w:sz w:val="32"/>
          <w:szCs w:val="32"/>
        </w:rPr>
        <w:t>1962.24</w:t>
      </w:r>
      <w:r>
        <w:rPr>
          <w:rFonts w:ascii="仿宋" w:eastAsia="仿宋" w:hAnsi="仿宋" w:hint="eastAsia"/>
          <w:sz w:val="32"/>
          <w:szCs w:val="32"/>
        </w:rPr>
        <w:t>万元。与</w:t>
      </w:r>
      <w:r>
        <w:rPr>
          <w:rFonts w:ascii="仿宋" w:eastAsia="仿宋" w:hAnsi="仿宋"/>
          <w:sz w:val="32"/>
          <w:szCs w:val="32"/>
        </w:rPr>
        <w:t>201</w:t>
      </w:r>
      <w:r>
        <w:rPr>
          <w:rFonts w:ascii="仿宋" w:eastAsia="仿宋" w:hAnsi="仿宋" w:hint="eastAsia"/>
          <w:sz w:val="32"/>
          <w:szCs w:val="32"/>
        </w:rPr>
        <w:t>7</w:t>
      </w:r>
      <w:r>
        <w:rPr>
          <w:rFonts w:ascii="仿宋" w:eastAsia="仿宋" w:hAnsi="仿宋" w:hint="eastAsia"/>
          <w:sz w:val="32"/>
          <w:szCs w:val="32"/>
        </w:rPr>
        <w:t>年相比，财政拨款收入</w:t>
      </w:r>
      <w:r>
        <w:rPr>
          <w:rFonts w:ascii="仿宋" w:eastAsia="仿宋" w:hAnsi="仿宋" w:hint="eastAsia"/>
          <w:sz w:val="32"/>
          <w:szCs w:val="32"/>
        </w:rPr>
        <w:t>减少</w:t>
      </w:r>
      <w:r>
        <w:rPr>
          <w:rFonts w:ascii="仿宋" w:eastAsia="仿宋" w:hAnsi="仿宋" w:hint="eastAsia"/>
          <w:sz w:val="32"/>
          <w:szCs w:val="32"/>
        </w:rPr>
        <w:t>333.84</w:t>
      </w:r>
      <w:r>
        <w:rPr>
          <w:rFonts w:ascii="仿宋" w:eastAsia="仿宋" w:hAnsi="仿宋" w:hint="eastAsia"/>
          <w:sz w:val="32"/>
          <w:szCs w:val="32"/>
        </w:rPr>
        <w:t>，</w:t>
      </w:r>
      <w:r>
        <w:rPr>
          <w:rFonts w:ascii="仿宋" w:eastAsia="仿宋" w:hAnsi="仿宋" w:hint="eastAsia"/>
          <w:sz w:val="32"/>
          <w:szCs w:val="32"/>
        </w:rPr>
        <w:t>减少</w:t>
      </w:r>
      <w:r>
        <w:rPr>
          <w:rFonts w:ascii="仿宋" w:eastAsia="仿宋" w:hAnsi="仿宋" w:hint="eastAsia"/>
          <w:sz w:val="32"/>
          <w:szCs w:val="32"/>
        </w:rPr>
        <w:t>15.55</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减少</w:t>
      </w:r>
      <w:r>
        <w:rPr>
          <w:rFonts w:ascii="仿宋" w:eastAsia="仿宋" w:hAnsi="仿宋" w:hint="eastAsia"/>
          <w:color w:val="000000" w:themeColor="text1"/>
          <w:sz w:val="32"/>
          <w:szCs w:val="32"/>
        </w:rPr>
        <w:lastRenderedPageBreak/>
        <w:t>987.19</w:t>
      </w:r>
      <w:r>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rPr>
        <w:t>减少</w:t>
      </w:r>
      <w:r>
        <w:rPr>
          <w:rFonts w:ascii="仿宋" w:eastAsia="仿宋" w:hAnsi="仿宋" w:hint="eastAsia"/>
          <w:color w:val="000000" w:themeColor="text1"/>
          <w:sz w:val="32"/>
          <w:szCs w:val="32"/>
        </w:rPr>
        <w:t xml:space="preserve">33.46 </w:t>
      </w:r>
      <w:r>
        <w:rPr>
          <w:rFonts w:ascii="仿宋" w:eastAsia="仿宋" w:hAnsi="仿宋"/>
          <w:color w:val="000000" w:themeColor="text1"/>
          <w:sz w:val="32"/>
          <w:szCs w:val="32"/>
        </w:rPr>
        <w:t>%</w:t>
      </w:r>
      <w:r>
        <w:rPr>
          <w:rFonts w:ascii="仿宋" w:eastAsia="仿宋" w:hAnsi="仿宋" w:hint="eastAsia"/>
          <w:color w:val="000000" w:themeColor="text1"/>
          <w:sz w:val="32"/>
          <w:szCs w:val="32"/>
        </w:rPr>
        <w:t>。主要变动原因是</w:t>
      </w:r>
      <w:r>
        <w:rPr>
          <w:rFonts w:ascii="仿宋_GB2312" w:eastAsia="仿宋_GB2312" w:hAnsi="宋体" w:cs="仿宋_GB2312" w:hint="eastAsia"/>
          <w:color w:val="000000"/>
          <w:sz w:val="32"/>
          <w:szCs w:val="32"/>
          <w:shd w:val="clear" w:color="auto" w:fill="FFFFFF"/>
        </w:rPr>
        <w:t>主要原因是基层医疗机构人员经费减少。</w:t>
      </w:r>
    </w:p>
    <w:p w:rsidR="009F5036" w:rsidRDefault="00514D84">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：财政拨款收、支决算总计变动情况）（柱状图）</w:t>
      </w:r>
    </w:p>
    <w:p w:rsidR="009F5036" w:rsidRDefault="00514D84">
      <w:pPr>
        <w:spacing w:line="600" w:lineRule="exact"/>
        <w:ind w:firstLineChars="200" w:firstLine="420"/>
        <w:rPr>
          <w:rFonts w:ascii="仿宋" w:eastAsia="仿宋" w:hAnsi="仿宋"/>
          <w:color w:val="0000FF"/>
          <w:sz w:val="32"/>
          <w:szCs w:val="32"/>
        </w:rPr>
      </w:pPr>
      <w:r>
        <w:rPr>
          <w:noProof/>
        </w:rPr>
        <w:drawing>
          <wp:anchor distT="0" distB="0" distL="114300" distR="114300" simplePos="0" relativeHeight="251677696" behindDoc="1" locked="0" layoutInCell="1" allowOverlap="1">
            <wp:simplePos x="0" y="0"/>
            <wp:positionH relativeFrom="column">
              <wp:posOffset>377825</wp:posOffset>
            </wp:positionH>
            <wp:positionV relativeFrom="paragraph">
              <wp:posOffset>214630</wp:posOffset>
            </wp:positionV>
            <wp:extent cx="3714750" cy="1978660"/>
            <wp:effectExtent l="5080" t="4445" r="13970" b="17145"/>
            <wp:wrapTight wrapText="bothSides">
              <wp:wrapPolygon edited="0">
                <wp:start x="-30" y="-49"/>
                <wp:lineTo x="-30" y="21371"/>
                <wp:lineTo x="21570" y="21371"/>
                <wp:lineTo x="21570" y="-49"/>
                <wp:lineTo x="-30" y="-49"/>
              </wp:wrapPolygon>
            </wp:wrapTight>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9F5036" w:rsidRDefault="009F5036">
      <w:pPr>
        <w:spacing w:line="600" w:lineRule="exact"/>
        <w:ind w:firstLineChars="200" w:firstLine="640"/>
        <w:rPr>
          <w:rFonts w:ascii="仿宋" w:eastAsia="仿宋" w:hAnsi="仿宋"/>
          <w:color w:val="0000FF"/>
          <w:sz w:val="32"/>
          <w:szCs w:val="32"/>
        </w:rPr>
      </w:pPr>
    </w:p>
    <w:p w:rsidR="009F5036" w:rsidRDefault="009F5036">
      <w:pPr>
        <w:spacing w:line="600" w:lineRule="exact"/>
        <w:ind w:firstLineChars="200" w:firstLine="640"/>
        <w:rPr>
          <w:rFonts w:ascii="仿宋" w:eastAsia="仿宋" w:hAnsi="仿宋"/>
          <w:color w:val="0000FF"/>
          <w:sz w:val="32"/>
          <w:szCs w:val="32"/>
        </w:rPr>
      </w:pPr>
    </w:p>
    <w:p w:rsidR="009F5036" w:rsidRDefault="009F5036">
      <w:pPr>
        <w:spacing w:line="600" w:lineRule="exact"/>
        <w:ind w:firstLineChars="200" w:firstLine="640"/>
        <w:rPr>
          <w:rFonts w:ascii="仿宋" w:eastAsia="仿宋" w:hAnsi="仿宋"/>
          <w:color w:val="0000FF"/>
          <w:sz w:val="32"/>
          <w:szCs w:val="32"/>
        </w:rPr>
      </w:pPr>
    </w:p>
    <w:p w:rsidR="009F5036" w:rsidRDefault="009F5036">
      <w:pPr>
        <w:spacing w:line="600" w:lineRule="exact"/>
        <w:ind w:firstLineChars="200" w:firstLine="640"/>
        <w:rPr>
          <w:rFonts w:ascii="仿宋" w:eastAsia="仿宋" w:hAnsi="仿宋"/>
          <w:color w:val="0000FF"/>
          <w:sz w:val="32"/>
          <w:szCs w:val="32"/>
        </w:rPr>
      </w:pPr>
    </w:p>
    <w:p w:rsidR="009F5036" w:rsidRDefault="009F5036">
      <w:pPr>
        <w:spacing w:line="600" w:lineRule="exact"/>
        <w:ind w:firstLineChars="200" w:firstLine="640"/>
        <w:rPr>
          <w:rFonts w:ascii="仿宋" w:eastAsia="仿宋" w:hAnsi="仿宋"/>
          <w:color w:val="0000FF"/>
          <w:sz w:val="32"/>
          <w:szCs w:val="32"/>
        </w:rPr>
      </w:pPr>
    </w:p>
    <w:p w:rsidR="009F5036" w:rsidRDefault="00514D84">
      <w:pPr>
        <w:spacing w:line="600" w:lineRule="exact"/>
        <w:ind w:firstLineChars="200" w:firstLine="420"/>
        <w:rPr>
          <w:rFonts w:ascii="仿宋" w:eastAsia="仿宋" w:hAnsi="仿宋"/>
          <w:color w:val="0000FF"/>
          <w:sz w:val="32"/>
          <w:szCs w:val="32"/>
        </w:rPr>
      </w:pPr>
      <w:r>
        <w:rPr>
          <w:noProof/>
        </w:rPr>
        <w:drawing>
          <wp:anchor distT="0" distB="0" distL="114300" distR="114300" simplePos="0" relativeHeight="251687936" behindDoc="0" locked="0" layoutInCell="1" allowOverlap="1">
            <wp:simplePos x="0" y="0"/>
            <wp:positionH relativeFrom="column">
              <wp:posOffset>377190</wp:posOffset>
            </wp:positionH>
            <wp:positionV relativeFrom="paragraph">
              <wp:posOffset>15240</wp:posOffset>
            </wp:positionV>
            <wp:extent cx="3716655" cy="2007870"/>
            <wp:effectExtent l="4445" t="4445" r="12700" b="6985"/>
            <wp:wrapSquare wrapText="bothSides"/>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F5036" w:rsidRDefault="009F5036">
      <w:pPr>
        <w:spacing w:line="600" w:lineRule="exact"/>
        <w:ind w:firstLineChars="200" w:firstLine="640"/>
        <w:rPr>
          <w:rFonts w:ascii="仿宋" w:eastAsia="仿宋" w:hAnsi="仿宋"/>
          <w:color w:val="0000FF"/>
          <w:sz w:val="32"/>
          <w:szCs w:val="32"/>
        </w:rPr>
      </w:pPr>
    </w:p>
    <w:p w:rsidR="009F5036" w:rsidRDefault="009F5036">
      <w:pPr>
        <w:spacing w:line="600" w:lineRule="exact"/>
        <w:ind w:firstLineChars="200" w:firstLine="640"/>
        <w:rPr>
          <w:rFonts w:ascii="仿宋" w:eastAsia="仿宋" w:hAnsi="仿宋"/>
          <w:color w:val="0000FF"/>
          <w:sz w:val="32"/>
          <w:szCs w:val="32"/>
        </w:rPr>
      </w:pPr>
    </w:p>
    <w:p w:rsidR="009F5036" w:rsidRDefault="009F5036">
      <w:pPr>
        <w:spacing w:line="600" w:lineRule="exact"/>
        <w:ind w:firstLineChars="200" w:firstLine="640"/>
        <w:rPr>
          <w:rFonts w:ascii="仿宋" w:eastAsia="仿宋" w:hAnsi="仿宋"/>
          <w:color w:val="0000FF"/>
          <w:sz w:val="32"/>
          <w:szCs w:val="32"/>
        </w:rPr>
      </w:pPr>
    </w:p>
    <w:p w:rsidR="009F5036" w:rsidRDefault="009F5036">
      <w:pPr>
        <w:spacing w:line="600" w:lineRule="exact"/>
        <w:ind w:firstLineChars="200" w:firstLine="640"/>
        <w:rPr>
          <w:rFonts w:ascii="仿宋" w:eastAsia="仿宋" w:hAnsi="仿宋"/>
          <w:color w:val="0000FF"/>
          <w:sz w:val="32"/>
          <w:szCs w:val="32"/>
        </w:rPr>
      </w:pPr>
    </w:p>
    <w:p w:rsidR="009F5036" w:rsidRDefault="009F5036">
      <w:pPr>
        <w:spacing w:line="600" w:lineRule="exact"/>
        <w:jc w:val="left"/>
        <w:outlineLvl w:val="1"/>
        <w:rPr>
          <w:rFonts w:ascii="黑体" w:eastAsia="黑体" w:hAnsi="黑体"/>
          <w:color w:val="0000FF"/>
          <w:sz w:val="32"/>
          <w:szCs w:val="32"/>
        </w:rPr>
      </w:pPr>
      <w:bookmarkStart w:id="33" w:name="_Toc15396607"/>
      <w:bookmarkStart w:id="34" w:name="_Toc15377209"/>
    </w:p>
    <w:p w:rsidR="009F5036" w:rsidRDefault="00514D84">
      <w:pPr>
        <w:spacing w:line="600" w:lineRule="exact"/>
        <w:ind w:firstLineChars="200" w:firstLine="640"/>
        <w:jc w:val="left"/>
        <w:outlineLvl w:val="1"/>
        <w:rPr>
          <w:rStyle w:val="20"/>
          <w:rFonts w:ascii="黑体" w:eastAsia="黑体" w:hAnsi="黑体"/>
          <w:b w:val="0"/>
        </w:rPr>
      </w:pPr>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33"/>
      <w:bookmarkEnd w:id="34"/>
    </w:p>
    <w:p w:rsidR="009F5036" w:rsidRDefault="00514D84">
      <w:pPr>
        <w:spacing w:line="600" w:lineRule="exact"/>
        <w:ind w:firstLineChars="200" w:firstLine="643"/>
        <w:outlineLvl w:val="2"/>
        <w:rPr>
          <w:rFonts w:ascii="仿宋" w:eastAsia="仿宋" w:hAnsi="仿宋"/>
          <w:b/>
          <w:sz w:val="32"/>
          <w:szCs w:val="32"/>
        </w:rPr>
      </w:pPr>
      <w:bookmarkStart w:id="35" w:name="_Toc15377210"/>
      <w:r>
        <w:rPr>
          <w:rFonts w:ascii="仿宋" w:eastAsia="仿宋" w:hAnsi="仿宋" w:hint="eastAsia"/>
          <w:b/>
          <w:sz w:val="32"/>
          <w:szCs w:val="32"/>
        </w:rPr>
        <w:t>（一）一般公共预算财政拨款支出决算总体情况</w:t>
      </w:r>
      <w:bookmarkEnd w:id="35"/>
    </w:p>
    <w:p w:rsidR="009F5036" w:rsidRDefault="00514D84">
      <w:pPr>
        <w:snapToGrid w:val="0"/>
        <w:spacing w:line="520" w:lineRule="exact"/>
        <w:ind w:firstLineChars="200" w:firstLine="640"/>
        <w:rPr>
          <w:rFonts w:ascii="仿宋" w:eastAsia="仿宋" w:hAnsi="仿宋"/>
          <w:color w:val="0000FF"/>
          <w:sz w:val="32"/>
          <w:szCs w:val="32"/>
        </w:rPr>
      </w:pP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年一般公共预算财政拨款支出</w:t>
      </w:r>
      <w:r>
        <w:rPr>
          <w:rFonts w:ascii="仿宋" w:eastAsia="仿宋" w:hAnsi="仿宋" w:hint="eastAsia"/>
          <w:sz w:val="32"/>
          <w:szCs w:val="32"/>
        </w:rPr>
        <w:t>1836.52</w:t>
      </w:r>
      <w:r>
        <w:rPr>
          <w:rFonts w:ascii="仿宋" w:eastAsia="仿宋" w:hAnsi="仿宋" w:hint="eastAsia"/>
          <w:sz w:val="32"/>
          <w:szCs w:val="32"/>
        </w:rPr>
        <w:t>万元，占本年支出合计的</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201</w:t>
      </w:r>
      <w:r>
        <w:rPr>
          <w:rFonts w:ascii="仿宋" w:eastAsia="仿宋" w:hAnsi="仿宋" w:hint="eastAsia"/>
          <w:sz w:val="32"/>
          <w:szCs w:val="32"/>
        </w:rPr>
        <w:t>7</w:t>
      </w:r>
      <w:r>
        <w:rPr>
          <w:rFonts w:ascii="仿宋" w:eastAsia="仿宋" w:hAnsi="仿宋" w:hint="eastAsia"/>
          <w:sz w:val="32"/>
          <w:szCs w:val="32"/>
        </w:rPr>
        <w:t>年相比，一般公共预算财政拨款</w:t>
      </w:r>
      <w:r>
        <w:rPr>
          <w:rFonts w:ascii="仿宋" w:eastAsia="仿宋" w:hAnsi="仿宋" w:hint="eastAsia"/>
          <w:sz w:val="32"/>
          <w:szCs w:val="32"/>
        </w:rPr>
        <w:t>减少</w:t>
      </w:r>
      <w:r>
        <w:rPr>
          <w:rFonts w:ascii="仿宋" w:eastAsia="仿宋" w:hAnsi="仿宋" w:hint="eastAsia"/>
          <w:sz w:val="32"/>
          <w:szCs w:val="32"/>
        </w:rPr>
        <w:t>961.89</w:t>
      </w:r>
      <w:r>
        <w:rPr>
          <w:rFonts w:ascii="仿宋" w:eastAsia="仿宋" w:hAnsi="仿宋" w:hint="eastAsia"/>
          <w:sz w:val="32"/>
          <w:szCs w:val="32"/>
        </w:rPr>
        <w:t>万元，</w:t>
      </w:r>
      <w:r>
        <w:rPr>
          <w:rFonts w:ascii="仿宋" w:eastAsia="仿宋" w:hAnsi="仿宋" w:hint="eastAsia"/>
          <w:sz w:val="32"/>
          <w:szCs w:val="32"/>
        </w:rPr>
        <w:t>减少</w:t>
      </w:r>
      <w:r>
        <w:rPr>
          <w:rFonts w:ascii="仿宋" w:eastAsia="仿宋" w:hAnsi="仿宋" w:hint="eastAsia"/>
          <w:sz w:val="32"/>
          <w:szCs w:val="32"/>
        </w:rPr>
        <w:t>34.37</w:t>
      </w:r>
      <w:r>
        <w:rPr>
          <w:rFonts w:ascii="仿宋" w:eastAsia="仿宋" w:hAnsi="仿宋"/>
          <w:sz w:val="32"/>
          <w:szCs w:val="32"/>
        </w:rPr>
        <w:t>%</w:t>
      </w:r>
      <w:r>
        <w:rPr>
          <w:rFonts w:ascii="仿宋" w:eastAsia="仿宋" w:hAnsi="仿宋" w:hint="eastAsia"/>
          <w:sz w:val="32"/>
          <w:szCs w:val="32"/>
        </w:rPr>
        <w:t>。</w:t>
      </w:r>
      <w:r>
        <w:rPr>
          <w:rFonts w:ascii="仿宋_GB2312" w:eastAsia="仿宋_GB2312" w:hAnsi="宋体" w:cs="仿宋_GB2312" w:hint="eastAsia"/>
          <w:color w:val="000000"/>
          <w:sz w:val="32"/>
          <w:szCs w:val="32"/>
          <w:shd w:val="clear" w:color="auto" w:fill="FFFFFF"/>
        </w:rPr>
        <w:t>主要原因是基层医疗机构人员经费减少。</w:t>
      </w:r>
    </w:p>
    <w:p w:rsidR="009F5036" w:rsidRDefault="00514D84">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：一般公共预算财政拨款支出决算变动情况）（柱状图）</w:t>
      </w:r>
    </w:p>
    <w:p w:rsidR="009F5036" w:rsidRDefault="00514D84">
      <w:pPr>
        <w:spacing w:line="600" w:lineRule="exact"/>
        <w:ind w:firstLineChars="200" w:firstLine="420"/>
        <w:rPr>
          <w:rFonts w:ascii="仿宋" w:eastAsia="仿宋" w:hAnsi="仿宋"/>
          <w:color w:val="0000FF"/>
          <w:sz w:val="32"/>
          <w:szCs w:val="32"/>
        </w:rPr>
      </w:pPr>
      <w:r>
        <w:rPr>
          <w:noProof/>
        </w:rPr>
        <w:lastRenderedPageBreak/>
        <w:drawing>
          <wp:anchor distT="0" distB="0" distL="114300" distR="114300" simplePos="0" relativeHeight="251718656" behindDoc="0" locked="0" layoutInCell="1" allowOverlap="1">
            <wp:simplePos x="0" y="0"/>
            <wp:positionH relativeFrom="column">
              <wp:posOffset>636270</wp:posOffset>
            </wp:positionH>
            <wp:positionV relativeFrom="paragraph">
              <wp:posOffset>-365125</wp:posOffset>
            </wp:positionV>
            <wp:extent cx="3716655" cy="2007870"/>
            <wp:effectExtent l="4445" t="4445" r="12700" b="6985"/>
            <wp:wrapSquare wrapText="bothSides"/>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F5036" w:rsidRDefault="009F5036">
      <w:pPr>
        <w:spacing w:line="600" w:lineRule="exact"/>
        <w:ind w:firstLineChars="200" w:firstLine="640"/>
        <w:rPr>
          <w:rFonts w:ascii="仿宋" w:eastAsia="仿宋" w:hAnsi="仿宋"/>
          <w:color w:val="0000FF"/>
          <w:sz w:val="32"/>
          <w:szCs w:val="32"/>
        </w:rPr>
      </w:pPr>
    </w:p>
    <w:p w:rsidR="009F5036" w:rsidRDefault="00514D84">
      <w:pPr>
        <w:spacing w:line="600" w:lineRule="exact"/>
        <w:ind w:firstLineChars="200" w:firstLine="643"/>
        <w:outlineLvl w:val="2"/>
        <w:rPr>
          <w:rFonts w:ascii="仿宋" w:eastAsia="仿宋" w:hAnsi="仿宋"/>
          <w:b/>
          <w:sz w:val="32"/>
          <w:szCs w:val="32"/>
        </w:rPr>
      </w:pPr>
      <w:bookmarkStart w:id="36" w:name="_Toc15377211"/>
      <w:r>
        <w:rPr>
          <w:rFonts w:ascii="仿宋" w:eastAsia="仿宋" w:hAnsi="仿宋" w:hint="eastAsia"/>
          <w:b/>
          <w:sz w:val="32"/>
          <w:szCs w:val="32"/>
        </w:rPr>
        <w:t>（二）一般公共预算财政拨款支出决算结构情况</w:t>
      </w:r>
      <w:bookmarkEnd w:id="36"/>
    </w:p>
    <w:p w:rsidR="009F5036" w:rsidRDefault="00514D84">
      <w:pPr>
        <w:spacing w:line="600" w:lineRule="exact"/>
        <w:ind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年一般公共预算财政拨款支出</w:t>
      </w:r>
      <w:r>
        <w:rPr>
          <w:rFonts w:ascii="仿宋" w:eastAsia="仿宋" w:hAnsi="仿宋" w:hint="eastAsia"/>
          <w:sz w:val="32"/>
          <w:szCs w:val="32"/>
        </w:rPr>
        <w:t>1836.52</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sz w:val="32"/>
          <w:szCs w:val="32"/>
        </w:rPr>
        <w:t>社会保障和就业支出</w:t>
      </w:r>
      <w:r>
        <w:rPr>
          <w:rFonts w:ascii="仿宋" w:eastAsia="仿宋" w:hAnsi="仿宋" w:hint="eastAsia"/>
          <w:sz w:val="32"/>
          <w:szCs w:val="32"/>
        </w:rPr>
        <w:t>54.62</w:t>
      </w:r>
      <w:r>
        <w:rPr>
          <w:rFonts w:ascii="仿宋" w:eastAsia="仿宋" w:hAnsi="仿宋" w:hint="eastAsia"/>
          <w:sz w:val="32"/>
          <w:szCs w:val="32"/>
        </w:rPr>
        <w:t>万元，占</w:t>
      </w:r>
      <w:r>
        <w:rPr>
          <w:rFonts w:ascii="仿宋" w:eastAsia="仿宋" w:hAnsi="仿宋" w:hint="eastAsia"/>
          <w:sz w:val="32"/>
          <w:szCs w:val="32"/>
        </w:rPr>
        <w:t>2.97</w:t>
      </w:r>
      <w:r>
        <w:rPr>
          <w:rFonts w:ascii="仿宋" w:eastAsia="仿宋" w:hAnsi="仿宋"/>
          <w:sz w:val="32"/>
          <w:szCs w:val="32"/>
        </w:rPr>
        <w:t>%</w:t>
      </w:r>
      <w:r>
        <w:rPr>
          <w:rFonts w:ascii="仿宋" w:eastAsia="仿宋" w:hAnsi="仿宋" w:hint="eastAsia"/>
          <w:sz w:val="32"/>
          <w:szCs w:val="32"/>
        </w:rPr>
        <w:t>；医疗卫生与计划生育支出</w:t>
      </w:r>
      <w:r>
        <w:rPr>
          <w:rFonts w:ascii="仿宋" w:eastAsia="仿宋" w:hAnsi="仿宋" w:hint="eastAsia"/>
          <w:sz w:val="32"/>
          <w:szCs w:val="32"/>
        </w:rPr>
        <w:t>1758.27</w:t>
      </w:r>
      <w:r>
        <w:rPr>
          <w:rFonts w:ascii="仿宋" w:eastAsia="仿宋" w:hAnsi="仿宋" w:hint="eastAsia"/>
          <w:sz w:val="32"/>
          <w:szCs w:val="32"/>
        </w:rPr>
        <w:t>万元，占</w:t>
      </w:r>
      <w:r>
        <w:rPr>
          <w:rFonts w:ascii="仿宋" w:eastAsia="仿宋" w:hAnsi="仿宋" w:hint="eastAsia"/>
          <w:sz w:val="32"/>
          <w:szCs w:val="32"/>
        </w:rPr>
        <w:t>95.74</w:t>
      </w:r>
      <w:r>
        <w:rPr>
          <w:rFonts w:ascii="仿宋" w:eastAsia="仿宋" w:hAnsi="仿宋"/>
          <w:sz w:val="32"/>
          <w:szCs w:val="32"/>
        </w:rPr>
        <w:t>%</w:t>
      </w:r>
      <w:r>
        <w:rPr>
          <w:rFonts w:ascii="仿宋" w:eastAsia="仿宋" w:hAnsi="仿宋" w:hint="eastAsia"/>
          <w:sz w:val="32"/>
          <w:szCs w:val="32"/>
        </w:rPr>
        <w:t>；住房保障支出</w:t>
      </w:r>
      <w:r>
        <w:rPr>
          <w:rFonts w:ascii="仿宋" w:eastAsia="仿宋" w:hAnsi="仿宋" w:hint="eastAsia"/>
          <w:sz w:val="32"/>
          <w:szCs w:val="32"/>
        </w:rPr>
        <w:t>23.63</w:t>
      </w:r>
      <w:r>
        <w:rPr>
          <w:rFonts w:ascii="仿宋" w:eastAsia="仿宋" w:hAnsi="仿宋" w:hint="eastAsia"/>
          <w:sz w:val="32"/>
          <w:szCs w:val="32"/>
        </w:rPr>
        <w:t>万元，占</w:t>
      </w:r>
      <w:r>
        <w:rPr>
          <w:rFonts w:ascii="仿宋" w:eastAsia="仿宋" w:hAnsi="仿宋" w:hint="eastAsia"/>
          <w:sz w:val="32"/>
          <w:szCs w:val="32"/>
        </w:rPr>
        <w:t>1.29</w:t>
      </w:r>
      <w:r>
        <w:rPr>
          <w:rFonts w:ascii="仿宋" w:eastAsia="仿宋" w:hAnsi="仿宋"/>
          <w:sz w:val="32"/>
          <w:szCs w:val="32"/>
        </w:rPr>
        <w:t>%</w:t>
      </w:r>
      <w:r>
        <w:rPr>
          <w:rFonts w:ascii="仿宋" w:eastAsia="仿宋" w:hAnsi="仿宋" w:hint="eastAsia"/>
          <w:sz w:val="32"/>
          <w:szCs w:val="32"/>
        </w:rPr>
        <w:t>。</w:t>
      </w:r>
    </w:p>
    <w:p w:rsidR="009F5036" w:rsidRDefault="00514D84">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：一般公共预算财政拨款支出决算结构）（饼状图）</w:t>
      </w:r>
    </w:p>
    <w:p w:rsidR="009F5036" w:rsidRDefault="00514D84">
      <w:pPr>
        <w:spacing w:line="600" w:lineRule="exact"/>
        <w:ind w:firstLineChars="200" w:firstLine="420"/>
        <w:rPr>
          <w:rFonts w:ascii="仿宋" w:eastAsia="仿宋" w:hAnsi="仿宋"/>
          <w:color w:val="0000FF"/>
          <w:sz w:val="32"/>
          <w:szCs w:val="32"/>
        </w:rPr>
      </w:pPr>
      <w:r>
        <w:rPr>
          <w:noProof/>
        </w:rPr>
        <w:drawing>
          <wp:anchor distT="0" distB="0" distL="114300" distR="114300" simplePos="0" relativeHeight="251719680" behindDoc="1" locked="0" layoutInCell="1" allowOverlap="1">
            <wp:simplePos x="0" y="0"/>
            <wp:positionH relativeFrom="column">
              <wp:posOffset>71755</wp:posOffset>
            </wp:positionH>
            <wp:positionV relativeFrom="paragraph">
              <wp:posOffset>142875</wp:posOffset>
            </wp:positionV>
            <wp:extent cx="5549900" cy="3501390"/>
            <wp:effectExtent l="4445" t="4445" r="8255" b="18415"/>
            <wp:wrapTight wrapText="bothSides">
              <wp:wrapPolygon edited="0">
                <wp:start x="-17" y="-27"/>
                <wp:lineTo x="-17" y="21479"/>
                <wp:lineTo x="21558" y="21479"/>
                <wp:lineTo x="21558" y="-27"/>
                <wp:lineTo x="-17" y="-27"/>
              </wp:wrapPolygon>
            </wp:wrapTight>
            <wp:docPr id="103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9F5036" w:rsidRDefault="00514D84">
      <w:pPr>
        <w:spacing w:line="600" w:lineRule="exact"/>
        <w:ind w:firstLineChars="200" w:firstLine="643"/>
        <w:outlineLvl w:val="2"/>
        <w:rPr>
          <w:rFonts w:ascii="仿宋" w:eastAsia="仿宋" w:hAnsi="仿宋"/>
          <w:b/>
          <w:sz w:val="32"/>
          <w:szCs w:val="32"/>
        </w:rPr>
      </w:pPr>
      <w:bookmarkStart w:id="37" w:name="_Toc15377212"/>
      <w:r>
        <w:rPr>
          <w:rFonts w:ascii="仿宋" w:eastAsia="仿宋" w:hAnsi="仿宋" w:hint="eastAsia"/>
          <w:b/>
          <w:sz w:val="32"/>
          <w:szCs w:val="32"/>
        </w:rPr>
        <w:t>（三）一般公共预算财政拨款支出决算具体情况</w:t>
      </w:r>
      <w:bookmarkEnd w:id="37"/>
    </w:p>
    <w:p w:rsidR="009F5036" w:rsidRDefault="00514D84">
      <w:pPr>
        <w:spacing w:line="600" w:lineRule="exact"/>
        <w:ind w:firstLineChars="200" w:firstLine="643"/>
        <w:outlineLvl w:val="2"/>
        <w:rPr>
          <w:rFonts w:ascii="仿宋" w:eastAsia="仿宋" w:hAnsi="仿宋"/>
          <w:color w:val="000000" w:themeColor="text1"/>
          <w:sz w:val="32"/>
          <w:szCs w:val="32"/>
        </w:rPr>
      </w:pPr>
      <w:bookmarkStart w:id="38" w:name="_Toc15378460"/>
      <w:bookmarkStart w:id="39" w:name="_Toc15377444"/>
      <w:bookmarkStart w:id="40" w:name="_Toc15377213"/>
      <w:r>
        <w:rPr>
          <w:rFonts w:ascii="仿宋" w:eastAsia="仿宋" w:hAnsi="仿宋" w:hint="eastAsia"/>
          <w:b/>
          <w:sz w:val="32"/>
          <w:szCs w:val="32"/>
        </w:rPr>
        <w:lastRenderedPageBreak/>
        <w:t>2018</w:t>
      </w:r>
      <w:r>
        <w:rPr>
          <w:rFonts w:ascii="仿宋" w:eastAsia="仿宋" w:hAnsi="仿宋" w:hint="eastAsia"/>
          <w:b/>
          <w:sz w:val="32"/>
          <w:szCs w:val="32"/>
        </w:rPr>
        <w:t>年</w:t>
      </w:r>
      <w:r>
        <w:rPr>
          <w:rFonts w:ascii="仿宋" w:eastAsia="仿宋" w:hAnsi="仿宋" w:hint="eastAsia"/>
          <w:b/>
          <w:sz w:val="32"/>
          <w:szCs w:val="32"/>
        </w:rPr>
        <w:t>一</w:t>
      </w:r>
      <w:r>
        <w:rPr>
          <w:rFonts w:ascii="仿宋" w:eastAsia="仿宋" w:hAnsi="仿宋" w:hint="eastAsia"/>
          <w:b/>
          <w:sz w:val="32"/>
          <w:szCs w:val="32"/>
        </w:rPr>
        <w:t>般公共预算支出决算数为</w:t>
      </w:r>
      <w:r>
        <w:rPr>
          <w:rFonts w:ascii="仿宋" w:eastAsia="仿宋" w:hAnsi="仿宋" w:hint="eastAsia"/>
          <w:b/>
          <w:sz w:val="32"/>
          <w:szCs w:val="32"/>
        </w:rPr>
        <w:t>1836.52</w:t>
      </w:r>
      <w:r>
        <w:rPr>
          <w:rFonts w:ascii="仿宋" w:eastAsia="仿宋" w:hAnsi="仿宋" w:hint="eastAsia"/>
          <w:b/>
          <w:sz w:val="32"/>
          <w:szCs w:val="32"/>
        </w:rPr>
        <w:t>万元</w:t>
      </w:r>
      <w:r>
        <w:rPr>
          <w:rFonts w:ascii="仿宋" w:eastAsia="仿宋" w:hAnsi="仿宋" w:hint="eastAsia"/>
          <w:sz w:val="32"/>
          <w:szCs w:val="32"/>
        </w:rPr>
        <w:t>，</w:t>
      </w:r>
      <w:r>
        <w:rPr>
          <w:rStyle w:val="a7"/>
          <w:rFonts w:ascii="仿宋" w:eastAsia="仿宋" w:hAnsi="仿宋" w:hint="eastAsia"/>
          <w:bCs/>
          <w:color w:val="000000" w:themeColor="text1"/>
          <w:sz w:val="32"/>
          <w:szCs w:val="32"/>
        </w:rPr>
        <w:t>完成预算</w:t>
      </w:r>
      <w:r>
        <w:rPr>
          <w:rStyle w:val="a7"/>
          <w:rFonts w:ascii="仿宋" w:eastAsia="仿宋" w:hAnsi="仿宋" w:hint="eastAsia"/>
          <w:bCs/>
          <w:color w:val="000000" w:themeColor="text1"/>
          <w:sz w:val="32"/>
          <w:szCs w:val="32"/>
        </w:rPr>
        <w:t>93.56</w:t>
      </w:r>
      <w:r>
        <w:rPr>
          <w:rStyle w:val="a7"/>
          <w:rFonts w:ascii="仿宋" w:eastAsia="仿宋" w:hAnsi="仿宋"/>
          <w:bCs/>
          <w:color w:val="000000" w:themeColor="text1"/>
          <w:sz w:val="32"/>
          <w:szCs w:val="32"/>
        </w:rPr>
        <w:t>%</w:t>
      </w:r>
      <w:r>
        <w:rPr>
          <w:rStyle w:val="a7"/>
          <w:rFonts w:ascii="仿宋" w:eastAsia="仿宋" w:hAnsi="仿宋" w:hint="eastAsia"/>
          <w:bCs/>
          <w:color w:val="000000" w:themeColor="text1"/>
          <w:sz w:val="32"/>
          <w:szCs w:val="32"/>
        </w:rPr>
        <w:t>。其中：</w:t>
      </w:r>
      <w:bookmarkEnd w:id="38"/>
      <w:bookmarkEnd w:id="39"/>
      <w:bookmarkEnd w:id="40"/>
    </w:p>
    <w:p w:rsidR="009F5036" w:rsidRDefault="00514D84">
      <w:pPr>
        <w:spacing w:line="600" w:lineRule="exact"/>
        <w:ind w:firstLineChars="200" w:firstLine="643"/>
        <w:rPr>
          <w:rStyle w:val="a7"/>
          <w:rFonts w:ascii="仿宋" w:eastAsia="仿宋" w:hAnsi="仿宋"/>
          <w:bCs/>
          <w:sz w:val="32"/>
          <w:szCs w:val="32"/>
        </w:rPr>
      </w:pPr>
      <w:r>
        <w:rPr>
          <w:rStyle w:val="a7"/>
          <w:rFonts w:ascii="仿宋" w:eastAsia="仿宋" w:hAnsi="仿宋"/>
          <w:bCs/>
          <w:sz w:val="32"/>
          <w:szCs w:val="32"/>
        </w:rPr>
        <w:t xml:space="preserve">1. </w:t>
      </w:r>
      <w:r>
        <w:rPr>
          <w:rStyle w:val="a7"/>
          <w:rFonts w:ascii="仿宋" w:eastAsia="仿宋" w:hAnsi="仿宋" w:hint="eastAsia"/>
          <w:bCs/>
          <w:sz w:val="32"/>
          <w:szCs w:val="32"/>
        </w:rPr>
        <w:t>社会保障和就业支出</w:t>
      </w:r>
      <w:r>
        <w:rPr>
          <w:rStyle w:val="a7"/>
          <w:rFonts w:ascii="仿宋" w:eastAsia="仿宋" w:hAnsi="仿宋" w:hint="eastAsia"/>
          <w:bCs/>
          <w:sz w:val="32"/>
          <w:szCs w:val="32"/>
        </w:rPr>
        <w:t>54.62</w:t>
      </w:r>
      <w:r>
        <w:rPr>
          <w:rStyle w:val="a7"/>
          <w:rFonts w:ascii="仿宋" w:eastAsia="仿宋" w:hAnsi="仿宋" w:hint="eastAsia"/>
          <w:bCs/>
          <w:sz w:val="32"/>
          <w:szCs w:val="32"/>
        </w:rPr>
        <w:t>万元，明细如下</w:t>
      </w:r>
      <w:r>
        <w:rPr>
          <w:rStyle w:val="a7"/>
          <w:rFonts w:ascii="仿宋" w:eastAsia="仿宋" w:hAnsi="仿宋"/>
          <w:bCs/>
          <w:sz w:val="32"/>
          <w:szCs w:val="32"/>
        </w:rPr>
        <w:t>:</w:t>
      </w:r>
    </w:p>
    <w:p w:rsidR="009F5036" w:rsidRDefault="00514D84">
      <w:pPr>
        <w:rPr>
          <w:rStyle w:val="a7"/>
          <w:rFonts w:ascii="仿宋" w:eastAsia="仿宋" w:hAnsi="仿宋"/>
          <w:b w:val="0"/>
          <w:bCs/>
          <w:color w:val="000000" w:themeColor="text1"/>
          <w:sz w:val="32"/>
          <w:szCs w:val="32"/>
        </w:rPr>
      </w:pPr>
      <w:r>
        <w:rPr>
          <w:rFonts w:hint="eastAsia"/>
          <w:color w:val="0000FF"/>
        </w:rPr>
        <w:t xml:space="preserve">     </w:t>
      </w:r>
      <w:r>
        <w:rPr>
          <w:rFonts w:hint="eastAsia"/>
          <w:color w:val="0000FF"/>
          <w:sz w:val="32"/>
          <w:szCs w:val="32"/>
        </w:rPr>
        <w:t xml:space="preserve"> </w:t>
      </w:r>
      <w:r>
        <w:rPr>
          <w:rFonts w:ascii="仿宋" w:eastAsia="仿宋" w:hAnsi="仿宋" w:hint="eastAsia"/>
          <w:sz w:val="32"/>
          <w:szCs w:val="32"/>
        </w:rPr>
        <w:t>2080504</w:t>
      </w:r>
      <w:r>
        <w:rPr>
          <w:rFonts w:ascii="仿宋" w:eastAsia="仿宋" w:hAnsi="仿宋" w:hint="eastAsia"/>
          <w:sz w:val="32"/>
          <w:szCs w:val="32"/>
        </w:rPr>
        <w:t>未归口管理的行政单位离退休</w:t>
      </w:r>
      <w:r>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4.61</w:t>
      </w:r>
      <w:r>
        <w:rPr>
          <w:rStyle w:val="a7"/>
          <w:rFonts w:ascii="仿宋" w:eastAsia="仿宋" w:hAnsi="仿宋" w:hint="eastAsia"/>
          <w:b w:val="0"/>
          <w:bCs/>
          <w:sz w:val="32"/>
          <w:szCs w:val="32"/>
        </w:rPr>
        <w:t>万元</w:t>
      </w:r>
      <w:r>
        <w:rPr>
          <w:rStyle w:val="a7"/>
          <w:rFonts w:ascii="仿宋" w:eastAsia="仿宋" w:hAnsi="仿宋" w:hint="eastAsia"/>
          <w:b w:val="0"/>
          <w:bCs/>
          <w:color w:val="000000" w:themeColor="text1"/>
          <w:sz w:val="32"/>
          <w:szCs w:val="32"/>
        </w:rPr>
        <w:t>，决算数等于预算数；</w:t>
      </w:r>
    </w:p>
    <w:p w:rsidR="009F5036" w:rsidRDefault="00514D84">
      <w:pPr>
        <w:ind w:firstLine="645"/>
        <w:rPr>
          <w:rStyle w:val="a7"/>
          <w:rFonts w:ascii="仿宋" w:eastAsia="仿宋" w:hAnsi="仿宋"/>
          <w:b w:val="0"/>
          <w:bCs/>
          <w:color w:val="0000FF"/>
          <w:sz w:val="32"/>
          <w:szCs w:val="32"/>
        </w:rPr>
      </w:pPr>
      <w:r>
        <w:rPr>
          <w:rStyle w:val="a7"/>
          <w:rFonts w:ascii="仿宋" w:eastAsia="仿宋" w:hAnsi="仿宋" w:hint="eastAsia"/>
          <w:b w:val="0"/>
          <w:bCs/>
          <w:sz w:val="32"/>
          <w:szCs w:val="32"/>
        </w:rPr>
        <w:t>2080505</w:t>
      </w:r>
      <w:r>
        <w:rPr>
          <w:rStyle w:val="a7"/>
          <w:rFonts w:ascii="仿宋" w:eastAsia="仿宋" w:hAnsi="仿宋" w:hint="eastAsia"/>
          <w:b w:val="0"/>
          <w:bCs/>
          <w:sz w:val="32"/>
          <w:szCs w:val="32"/>
        </w:rPr>
        <w:t>机关事业单位基本养老保险缴费支出</w:t>
      </w:r>
      <w:r>
        <w:rPr>
          <w:rStyle w:val="a7"/>
          <w:rFonts w:ascii="仿宋" w:eastAsia="仿宋" w:hAnsi="仿宋" w:hint="eastAsia"/>
          <w:b w:val="0"/>
          <w:bCs/>
          <w:sz w:val="32"/>
          <w:szCs w:val="32"/>
        </w:rPr>
        <w:t>28.04</w:t>
      </w:r>
      <w:r>
        <w:rPr>
          <w:rStyle w:val="a7"/>
          <w:rFonts w:ascii="仿宋" w:eastAsia="仿宋" w:hAnsi="仿宋" w:hint="eastAsia"/>
          <w:b w:val="0"/>
          <w:bCs/>
          <w:sz w:val="32"/>
          <w:szCs w:val="32"/>
        </w:rPr>
        <w:t>万元，</w:t>
      </w:r>
      <w:r>
        <w:rPr>
          <w:rStyle w:val="a7"/>
          <w:rFonts w:ascii="仿宋" w:eastAsia="仿宋" w:hAnsi="仿宋" w:hint="eastAsia"/>
          <w:b w:val="0"/>
          <w:bCs/>
          <w:color w:val="000000" w:themeColor="text1"/>
          <w:sz w:val="32"/>
          <w:szCs w:val="32"/>
        </w:rPr>
        <w:t>决算数等于预算数；</w:t>
      </w:r>
    </w:p>
    <w:p w:rsidR="009F5036" w:rsidRDefault="00514D84">
      <w:pPr>
        <w:ind w:firstLine="645"/>
        <w:rPr>
          <w:rStyle w:val="a7"/>
          <w:rFonts w:ascii="仿宋" w:eastAsia="仿宋" w:hAnsi="仿宋"/>
          <w:b w:val="0"/>
          <w:bCs/>
          <w:color w:val="0000FF"/>
          <w:sz w:val="32"/>
          <w:szCs w:val="32"/>
        </w:rPr>
      </w:pPr>
      <w:r>
        <w:rPr>
          <w:rStyle w:val="a7"/>
          <w:rFonts w:ascii="仿宋" w:eastAsia="仿宋" w:hAnsi="仿宋" w:hint="eastAsia"/>
          <w:b w:val="0"/>
          <w:bCs/>
          <w:sz w:val="32"/>
          <w:szCs w:val="32"/>
        </w:rPr>
        <w:t>2080506</w:t>
      </w:r>
      <w:r>
        <w:rPr>
          <w:rStyle w:val="a7"/>
          <w:rFonts w:ascii="仿宋" w:eastAsia="仿宋" w:hAnsi="仿宋" w:hint="eastAsia"/>
          <w:b w:val="0"/>
          <w:bCs/>
          <w:sz w:val="32"/>
          <w:szCs w:val="32"/>
        </w:rPr>
        <w:t>机关事业单位职业年金缴费支出</w:t>
      </w:r>
      <w:r>
        <w:rPr>
          <w:rStyle w:val="a7"/>
          <w:rFonts w:ascii="仿宋" w:eastAsia="仿宋" w:hAnsi="仿宋" w:hint="eastAsia"/>
          <w:b w:val="0"/>
          <w:bCs/>
          <w:sz w:val="32"/>
          <w:szCs w:val="32"/>
        </w:rPr>
        <w:t>1.93</w:t>
      </w:r>
      <w:r>
        <w:rPr>
          <w:rStyle w:val="a7"/>
          <w:rFonts w:ascii="仿宋" w:eastAsia="仿宋" w:hAnsi="仿宋" w:hint="eastAsia"/>
          <w:b w:val="0"/>
          <w:bCs/>
          <w:sz w:val="32"/>
          <w:szCs w:val="32"/>
        </w:rPr>
        <w:t>万元，</w:t>
      </w:r>
      <w:r>
        <w:rPr>
          <w:rStyle w:val="a7"/>
          <w:rFonts w:ascii="仿宋" w:eastAsia="仿宋" w:hAnsi="仿宋" w:hint="eastAsia"/>
          <w:b w:val="0"/>
          <w:bCs/>
          <w:color w:val="000000" w:themeColor="text1"/>
          <w:sz w:val="32"/>
          <w:szCs w:val="32"/>
        </w:rPr>
        <w:t>决算数等于预算数。</w:t>
      </w:r>
    </w:p>
    <w:p w:rsidR="009F5036" w:rsidRDefault="00514D84">
      <w:pPr>
        <w:ind w:firstLine="645"/>
        <w:rPr>
          <w:rStyle w:val="a7"/>
          <w:rFonts w:ascii="仿宋" w:eastAsia="仿宋" w:hAnsi="仿宋"/>
          <w:b w:val="0"/>
          <w:bCs/>
          <w:sz w:val="32"/>
          <w:szCs w:val="32"/>
        </w:rPr>
      </w:pPr>
      <w:r>
        <w:rPr>
          <w:rStyle w:val="a7"/>
          <w:rFonts w:ascii="仿宋" w:eastAsia="仿宋" w:hAnsi="仿宋" w:hint="eastAsia"/>
          <w:b w:val="0"/>
          <w:bCs/>
          <w:sz w:val="32"/>
          <w:szCs w:val="32"/>
        </w:rPr>
        <w:t>2080801</w:t>
      </w:r>
      <w:r>
        <w:rPr>
          <w:rStyle w:val="a7"/>
          <w:rFonts w:ascii="仿宋" w:eastAsia="仿宋" w:hAnsi="仿宋" w:hint="eastAsia"/>
          <w:b w:val="0"/>
          <w:bCs/>
          <w:sz w:val="32"/>
          <w:szCs w:val="32"/>
        </w:rPr>
        <w:t>死亡抚恤</w:t>
      </w:r>
      <w:r>
        <w:rPr>
          <w:rStyle w:val="a7"/>
          <w:rFonts w:ascii="仿宋" w:eastAsia="仿宋" w:hAnsi="仿宋" w:hint="eastAsia"/>
          <w:b w:val="0"/>
          <w:bCs/>
          <w:sz w:val="32"/>
          <w:szCs w:val="32"/>
        </w:rPr>
        <w:t>20.04</w:t>
      </w:r>
      <w:r>
        <w:rPr>
          <w:rStyle w:val="a7"/>
          <w:rFonts w:ascii="仿宋" w:eastAsia="仿宋" w:hAnsi="仿宋" w:hint="eastAsia"/>
          <w:b w:val="0"/>
          <w:bCs/>
          <w:sz w:val="32"/>
          <w:szCs w:val="32"/>
        </w:rPr>
        <w:t>万元，决算数等于预算数。</w:t>
      </w:r>
    </w:p>
    <w:p w:rsidR="009F5036" w:rsidRDefault="00514D84">
      <w:pPr>
        <w:spacing w:line="600" w:lineRule="exact"/>
        <w:ind w:firstLineChars="200" w:firstLine="643"/>
        <w:rPr>
          <w:rStyle w:val="a7"/>
          <w:rFonts w:ascii="仿宋" w:eastAsia="仿宋" w:hAnsi="仿宋"/>
          <w:bCs/>
          <w:sz w:val="32"/>
          <w:szCs w:val="32"/>
        </w:rPr>
      </w:pPr>
      <w:r>
        <w:rPr>
          <w:rStyle w:val="a7"/>
          <w:rFonts w:ascii="仿宋" w:eastAsia="仿宋" w:hAnsi="仿宋"/>
          <w:bCs/>
          <w:sz w:val="32"/>
          <w:szCs w:val="32"/>
        </w:rPr>
        <w:t>2.</w:t>
      </w:r>
      <w:r>
        <w:rPr>
          <w:rStyle w:val="a7"/>
          <w:rFonts w:ascii="仿宋" w:eastAsia="仿宋" w:hAnsi="仿宋" w:hint="eastAsia"/>
          <w:bCs/>
          <w:sz w:val="32"/>
          <w:szCs w:val="32"/>
        </w:rPr>
        <w:t xml:space="preserve"> </w:t>
      </w:r>
      <w:r>
        <w:rPr>
          <w:rStyle w:val="a7"/>
          <w:rFonts w:ascii="仿宋" w:eastAsia="仿宋" w:hAnsi="仿宋" w:hint="eastAsia"/>
          <w:bCs/>
          <w:sz w:val="32"/>
          <w:szCs w:val="32"/>
        </w:rPr>
        <w:t>医疗卫生与计划生育支出</w:t>
      </w:r>
      <w:r>
        <w:rPr>
          <w:rStyle w:val="a7"/>
          <w:rFonts w:ascii="仿宋" w:eastAsia="仿宋" w:hAnsi="仿宋" w:hint="eastAsia"/>
          <w:bCs/>
          <w:sz w:val="32"/>
          <w:szCs w:val="32"/>
        </w:rPr>
        <w:t>1758.27</w:t>
      </w:r>
      <w:r>
        <w:rPr>
          <w:rStyle w:val="a7"/>
          <w:rFonts w:ascii="仿宋" w:eastAsia="仿宋" w:hAnsi="仿宋" w:hint="eastAsia"/>
          <w:bCs/>
          <w:sz w:val="32"/>
          <w:szCs w:val="32"/>
        </w:rPr>
        <w:t>万元</w:t>
      </w:r>
      <w:r>
        <w:rPr>
          <w:rStyle w:val="a7"/>
          <w:rFonts w:ascii="仿宋" w:eastAsia="仿宋" w:hAnsi="仿宋"/>
          <w:bCs/>
          <w:sz w:val="32"/>
          <w:szCs w:val="32"/>
        </w:rPr>
        <w:t>:</w:t>
      </w:r>
    </w:p>
    <w:p w:rsidR="009F5036" w:rsidRDefault="00514D84">
      <w:pPr>
        <w:ind w:firstLine="645"/>
        <w:rPr>
          <w:rStyle w:val="a7"/>
          <w:rFonts w:ascii="仿宋" w:eastAsia="仿宋" w:hAnsi="仿宋"/>
          <w:b w:val="0"/>
          <w:bCs/>
          <w:sz w:val="32"/>
          <w:szCs w:val="32"/>
        </w:rPr>
      </w:pPr>
      <w:r>
        <w:rPr>
          <w:rStyle w:val="a7"/>
          <w:rFonts w:ascii="仿宋" w:eastAsia="仿宋" w:hAnsi="仿宋" w:hint="eastAsia"/>
          <w:b w:val="0"/>
          <w:bCs/>
          <w:sz w:val="32"/>
          <w:szCs w:val="32"/>
        </w:rPr>
        <w:t>2100199</w:t>
      </w:r>
      <w:r>
        <w:rPr>
          <w:rStyle w:val="a7"/>
          <w:rFonts w:ascii="仿宋" w:eastAsia="仿宋" w:hAnsi="仿宋" w:hint="eastAsia"/>
          <w:b w:val="0"/>
          <w:bCs/>
          <w:sz w:val="32"/>
          <w:szCs w:val="32"/>
        </w:rPr>
        <w:t>其他医疗卫生与计划生育管理事务支出</w:t>
      </w:r>
      <w:r>
        <w:rPr>
          <w:rStyle w:val="a7"/>
          <w:rFonts w:ascii="仿宋" w:eastAsia="仿宋" w:hAnsi="仿宋" w:hint="eastAsia"/>
          <w:b w:val="0"/>
          <w:bCs/>
          <w:sz w:val="32"/>
          <w:szCs w:val="32"/>
        </w:rPr>
        <w:t>1.93</w:t>
      </w:r>
      <w:r>
        <w:rPr>
          <w:rStyle w:val="a7"/>
          <w:rFonts w:ascii="仿宋" w:eastAsia="仿宋" w:hAnsi="仿宋" w:hint="eastAsia"/>
          <w:b w:val="0"/>
          <w:bCs/>
          <w:sz w:val="32"/>
          <w:szCs w:val="32"/>
        </w:rPr>
        <w:t>万元，决算数等于预算数。</w:t>
      </w:r>
    </w:p>
    <w:p w:rsidR="009F5036" w:rsidRDefault="00514D84">
      <w:pPr>
        <w:ind w:firstLine="645"/>
        <w:rPr>
          <w:rStyle w:val="a7"/>
          <w:rFonts w:ascii="仿宋" w:eastAsia="仿宋" w:hAnsi="仿宋"/>
          <w:b w:val="0"/>
          <w:bCs/>
          <w:sz w:val="32"/>
          <w:szCs w:val="32"/>
        </w:rPr>
      </w:pPr>
      <w:r>
        <w:rPr>
          <w:rStyle w:val="a7"/>
          <w:rFonts w:ascii="仿宋" w:eastAsia="仿宋" w:hAnsi="仿宋" w:hint="eastAsia"/>
          <w:b w:val="0"/>
          <w:bCs/>
          <w:sz w:val="32"/>
          <w:szCs w:val="32"/>
        </w:rPr>
        <w:t>2100301</w:t>
      </w:r>
      <w:r>
        <w:rPr>
          <w:rStyle w:val="a7"/>
          <w:rFonts w:ascii="仿宋" w:eastAsia="仿宋" w:hAnsi="仿宋" w:hint="eastAsia"/>
          <w:b w:val="0"/>
          <w:bCs/>
          <w:sz w:val="32"/>
          <w:szCs w:val="32"/>
        </w:rPr>
        <w:t>城市社区卫生机构</w:t>
      </w:r>
      <w:r>
        <w:rPr>
          <w:rStyle w:val="a7"/>
          <w:rFonts w:ascii="仿宋" w:eastAsia="仿宋" w:hAnsi="仿宋" w:hint="eastAsia"/>
          <w:b w:val="0"/>
          <w:bCs/>
          <w:sz w:val="32"/>
          <w:szCs w:val="32"/>
        </w:rPr>
        <w:t>400</w:t>
      </w:r>
      <w:r>
        <w:rPr>
          <w:rStyle w:val="a7"/>
          <w:rFonts w:ascii="仿宋" w:eastAsia="仿宋" w:hAnsi="仿宋" w:hint="eastAsia"/>
          <w:b w:val="0"/>
          <w:bCs/>
          <w:sz w:val="32"/>
          <w:szCs w:val="32"/>
        </w:rPr>
        <w:t>万元，决算数等于预算数。</w:t>
      </w:r>
    </w:p>
    <w:p w:rsidR="009F5036" w:rsidRDefault="00514D84">
      <w:pPr>
        <w:ind w:firstLine="645"/>
        <w:rPr>
          <w:rStyle w:val="a7"/>
          <w:rFonts w:ascii="仿宋" w:eastAsia="仿宋" w:hAnsi="仿宋"/>
          <w:b w:val="0"/>
          <w:bCs/>
          <w:sz w:val="32"/>
          <w:szCs w:val="32"/>
        </w:rPr>
      </w:pPr>
      <w:r>
        <w:rPr>
          <w:rStyle w:val="a7"/>
          <w:rFonts w:ascii="仿宋" w:eastAsia="仿宋" w:hAnsi="仿宋" w:hint="eastAsia"/>
          <w:b w:val="0"/>
          <w:bCs/>
          <w:sz w:val="32"/>
          <w:szCs w:val="32"/>
        </w:rPr>
        <w:t>2100302</w:t>
      </w:r>
      <w:r>
        <w:rPr>
          <w:rStyle w:val="a7"/>
          <w:rFonts w:ascii="仿宋" w:eastAsia="仿宋" w:hAnsi="仿宋" w:hint="eastAsia"/>
          <w:b w:val="0"/>
          <w:bCs/>
          <w:sz w:val="32"/>
          <w:szCs w:val="32"/>
        </w:rPr>
        <w:t>乡镇卫生院</w:t>
      </w:r>
      <w:r>
        <w:rPr>
          <w:rStyle w:val="a7"/>
          <w:rFonts w:ascii="仿宋" w:eastAsia="仿宋" w:hAnsi="仿宋" w:hint="eastAsia"/>
          <w:b w:val="0"/>
          <w:bCs/>
          <w:sz w:val="32"/>
          <w:szCs w:val="32"/>
        </w:rPr>
        <w:t>1.5</w:t>
      </w:r>
      <w:r>
        <w:rPr>
          <w:rStyle w:val="a7"/>
          <w:rFonts w:ascii="仿宋" w:eastAsia="仿宋" w:hAnsi="仿宋" w:hint="eastAsia"/>
          <w:b w:val="0"/>
          <w:bCs/>
          <w:sz w:val="32"/>
          <w:szCs w:val="32"/>
        </w:rPr>
        <w:t>万元，决算数等于预算数。</w:t>
      </w:r>
    </w:p>
    <w:p w:rsidR="009F5036" w:rsidRDefault="00514D84">
      <w:pPr>
        <w:ind w:firstLine="645"/>
        <w:rPr>
          <w:rStyle w:val="a7"/>
          <w:rFonts w:ascii="仿宋" w:eastAsia="仿宋" w:hAnsi="仿宋"/>
          <w:b w:val="0"/>
          <w:bCs/>
          <w:sz w:val="32"/>
          <w:szCs w:val="32"/>
        </w:rPr>
      </w:pPr>
      <w:r>
        <w:rPr>
          <w:rStyle w:val="a7"/>
          <w:rFonts w:ascii="仿宋" w:eastAsia="仿宋" w:hAnsi="仿宋" w:hint="eastAsia"/>
          <w:b w:val="0"/>
          <w:bCs/>
          <w:sz w:val="32"/>
          <w:szCs w:val="32"/>
        </w:rPr>
        <w:t>2100399</w:t>
      </w:r>
      <w:r>
        <w:rPr>
          <w:rStyle w:val="a7"/>
          <w:rFonts w:ascii="仿宋" w:eastAsia="仿宋" w:hAnsi="仿宋" w:hint="eastAsia"/>
          <w:b w:val="0"/>
          <w:bCs/>
          <w:sz w:val="32"/>
          <w:szCs w:val="32"/>
        </w:rPr>
        <w:t>其他基层医疗卫生机构支出</w:t>
      </w:r>
      <w:r>
        <w:rPr>
          <w:rStyle w:val="a7"/>
          <w:rFonts w:ascii="仿宋" w:eastAsia="仿宋" w:hAnsi="仿宋" w:hint="eastAsia"/>
          <w:b w:val="0"/>
          <w:bCs/>
          <w:sz w:val="32"/>
          <w:szCs w:val="32"/>
        </w:rPr>
        <w:t>259.09</w:t>
      </w:r>
      <w:r>
        <w:rPr>
          <w:rStyle w:val="a7"/>
          <w:rFonts w:ascii="仿宋" w:eastAsia="仿宋" w:hAnsi="仿宋" w:hint="eastAsia"/>
          <w:b w:val="0"/>
          <w:bCs/>
          <w:sz w:val="32"/>
          <w:szCs w:val="32"/>
        </w:rPr>
        <w:t>万元，决算数小于预算数，主要原因是下达的中央、市级基药补助经费。</w:t>
      </w:r>
    </w:p>
    <w:p w:rsidR="009F5036" w:rsidRDefault="00514D84">
      <w:pPr>
        <w:ind w:firstLine="645"/>
        <w:rPr>
          <w:rStyle w:val="a7"/>
          <w:rFonts w:ascii="仿宋" w:eastAsia="仿宋" w:hAnsi="仿宋"/>
          <w:b w:val="0"/>
          <w:bCs/>
          <w:sz w:val="32"/>
          <w:szCs w:val="32"/>
        </w:rPr>
      </w:pPr>
      <w:r>
        <w:rPr>
          <w:rStyle w:val="a7"/>
          <w:rFonts w:ascii="仿宋" w:eastAsia="仿宋" w:hAnsi="仿宋" w:hint="eastAsia"/>
          <w:b w:val="0"/>
          <w:bCs/>
          <w:sz w:val="32"/>
          <w:szCs w:val="32"/>
        </w:rPr>
        <w:t>2100407</w:t>
      </w:r>
      <w:r>
        <w:rPr>
          <w:rStyle w:val="a7"/>
          <w:rFonts w:ascii="仿宋" w:eastAsia="仿宋" w:hAnsi="仿宋" w:hint="eastAsia"/>
          <w:b w:val="0"/>
          <w:bCs/>
          <w:sz w:val="32"/>
          <w:szCs w:val="32"/>
        </w:rPr>
        <w:t>其他专业公共卫生机构</w:t>
      </w:r>
      <w:r>
        <w:rPr>
          <w:rStyle w:val="a7"/>
          <w:rFonts w:ascii="仿宋" w:eastAsia="仿宋" w:hAnsi="仿宋" w:hint="eastAsia"/>
          <w:b w:val="0"/>
          <w:bCs/>
          <w:sz w:val="32"/>
          <w:szCs w:val="32"/>
        </w:rPr>
        <w:t>209.83</w:t>
      </w:r>
      <w:r>
        <w:rPr>
          <w:rStyle w:val="a7"/>
          <w:rFonts w:ascii="仿宋" w:eastAsia="仿宋" w:hAnsi="仿宋" w:hint="eastAsia"/>
          <w:b w:val="0"/>
          <w:bCs/>
          <w:sz w:val="32"/>
          <w:szCs w:val="32"/>
        </w:rPr>
        <w:t>万元，决算数等于预算数。</w:t>
      </w:r>
    </w:p>
    <w:p w:rsidR="009F5036" w:rsidRDefault="00514D84">
      <w:pPr>
        <w:ind w:firstLine="645"/>
        <w:rPr>
          <w:rStyle w:val="a7"/>
          <w:rFonts w:ascii="仿宋" w:eastAsia="仿宋" w:hAnsi="仿宋"/>
          <w:b w:val="0"/>
          <w:bCs/>
          <w:sz w:val="32"/>
          <w:szCs w:val="32"/>
        </w:rPr>
      </w:pPr>
      <w:r>
        <w:rPr>
          <w:rStyle w:val="a7"/>
          <w:rFonts w:ascii="仿宋" w:eastAsia="仿宋" w:hAnsi="仿宋" w:hint="eastAsia"/>
          <w:b w:val="0"/>
          <w:bCs/>
          <w:sz w:val="32"/>
          <w:szCs w:val="32"/>
        </w:rPr>
        <w:t>2100408</w:t>
      </w:r>
      <w:r>
        <w:rPr>
          <w:rStyle w:val="a7"/>
          <w:rFonts w:ascii="仿宋" w:eastAsia="仿宋" w:hAnsi="仿宋" w:hint="eastAsia"/>
          <w:b w:val="0"/>
          <w:bCs/>
          <w:sz w:val="32"/>
          <w:szCs w:val="32"/>
        </w:rPr>
        <w:t>基本公共卫生服务</w:t>
      </w:r>
      <w:r>
        <w:rPr>
          <w:rStyle w:val="a7"/>
          <w:rFonts w:ascii="仿宋" w:eastAsia="仿宋" w:hAnsi="仿宋" w:hint="eastAsia"/>
          <w:b w:val="0"/>
          <w:bCs/>
          <w:sz w:val="32"/>
          <w:szCs w:val="32"/>
        </w:rPr>
        <w:t>834.08</w:t>
      </w:r>
      <w:r>
        <w:rPr>
          <w:rStyle w:val="a7"/>
          <w:rFonts w:ascii="仿宋" w:eastAsia="仿宋" w:hAnsi="仿宋" w:hint="eastAsia"/>
          <w:b w:val="0"/>
          <w:bCs/>
          <w:sz w:val="32"/>
          <w:szCs w:val="32"/>
        </w:rPr>
        <w:t>万元，决算数等于预算数。</w:t>
      </w:r>
    </w:p>
    <w:p w:rsidR="009F5036" w:rsidRDefault="00514D84">
      <w:pPr>
        <w:ind w:firstLine="645"/>
        <w:rPr>
          <w:rStyle w:val="a7"/>
          <w:rFonts w:ascii="仿宋" w:eastAsia="仿宋" w:hAnsi="仿宋"/>
          <w:b w:val="0"/>
          <w:bCs/>
          <w:sz w:val="32"/>
          <w:szCs w:val="32"/>
        </w:rPr>
      </w:pPr>
      <w:r>
        <w:rPr>
          <w:rStyle w:val="a7"/>
          <w:rFonts w:ascii="仿宋" w:eastAsia="仿宋" w:hAnsi="仿宋" w:hint="eastAsia"/>
          <w:b w:val="0"/>
          <w:bCs/>
          <w:sz w:val="32"/>
          <w:szCs w:val="32"/>
        </w:rPr>
        <w:lastRenderedPageBreak/>
        <w:t>2100409</w:t>
      </w:r>
      <w:r>
        <w:rPr>
          <w:rStyle w:val="a7"/>
          <w:rFonts w:ascii="仿宋" w:eastAsia="仿宋" w:hAnsi="仿宋" w:hint="eastAsia"/>
          <w:b w:val="0"/>
          <w:bCs/>
          <w:sz w:val="32"/>
          <w:szCs w:val="32"/>
        </w:rPr>
        <w:t>重大公共卫生专项</w:t>
      </w:r>
      <w:r>
        <w:rPr>
          <w:rStyle w:val="a7"/>
          <w:rFonts w:ascii="仿宋" w:eastAsia="仿宋" w:hAnsi="仿宋" w:hint="eastAsia"/>
          <w:b w:val="0"/>
          <w:bCs/>
          <w:sz w:val="32"/>
          <w:szCs w:val="32"/>
        </w:rPr>
        <w:t>15.9</w:t>
      </w:r>
      <w:r>
        <w:rPr>
          <w:rStyle w:val="a7"/>
          <w:rFonts w:ascii="仿宋" w:eastAsia="仿宋" w:hAnsi="仿宋" w:hint="eastAsia"/>
          <w:b w:val="0"/>
          <w:bCs/>
          <w:sz w:val="32"/>
          <w:szCs w:val="32"/>
        </w:rPr>
        <w:t>万元，决算数小于预</w:t>
      </w:r>
      <w:r>
        <w:rPr>
          <w:rStyle w:val="a7"/>
          <w:rFonts w:ascii="仿宋" w:eastAsia="仿宋" w:hAnsi="仿宋" w:hint="eastAsia"/>
          <w:b w:val="0"/>
          <w:bCs/>
          <w:sz w:val="32"/>
          <w:szCs w:val="32"/>
        </w:rPr>
        <w:t>算数，主要原因是中央公卫中心经费、疾病预防控制项目省级补助资金（精神卫生与慢性病防治）。</w:t>
      </w:r>
    </w:p>
    <w:p w:rsidR="009F5036" w:rsidRDefault="00514D84">
      <w:pPr>
        <w:ind w:firstLine="645"/>
        <w:rPr>
          <w:rStyle w:val="a7"/>
          <w:rFonts w:ascii="仿宋" w:eastAsia="仿宋" w:hAnsi="仿宋"/>
          <w:b w:val="0"/>
          <w:bCs/>
          <w:sz w:val="32"/>
          <w:szCs w:val="32"/>
        </w:rPr>
      </w:pPr>
      <w:r>
        <w:rPr>
          <w:rStyle w:val="a7"/>
          <w:rFonts w:ascii="仿宋" w:eastAsia="仿宋" w:hAnsi="仿宋" w:hint="eastAsia"/>
          <w:b w:val="0"/>
          <w:bCs/>
          <w:sz w:val="32"/>
          <w:szCs w:val="32"/>
        </w:rPr>
        <w:t>2100499</w:t>
      </w:r>
      <w:r>
        <w:rPr>
          <w:rStyle w:val="a7"/>
          <w:rFonts w:ascii="仿宋" w:eastAsia="仿宋" w:hAnsi="仿宋" w:hint="eastAsia"/>
          <w:b w:val="0"/>
          <w:bCs/>
          <w:sz w:val="32"/>
          <w:szCs w:val="32"/>
        </w:rPr>
        <w:t>其他公共卫生卫生支出</w:t>
      </w:r>
      <w:r>
        <w:rPr>
          <w:rStyle w:val="a7"/>
          <w:rFonts w:ascii="仿宋" w:eastAsia="仿宋" w:hAnsi="仿宋" w:hint="eastAsia"/>
          <w:b w:val="0"/>
          <w:bCs/>
          <w:sz w:val="32"/>
          <w:szCs w:val="32"/>
        </w:rPr>
        <w:t>0.81</w:t>
      </w:r>
      <w:r>
        <w:rPr>
          <w:rStyle w:val="a7"/>
          <w:rFonts w:ascii="仿宋" w:eastAsia="仿宋" w:hAnsi="仿宋" w:hint="eastAsia"/>
          <w:b w:val="0"/>
          <w:bCs/>
          <w:sz w:val="32"/>
          <w:szCs w:val="32"/>
        </w:rPr>
        <w:t>万元，决算数小于预算数，主要原因是中央公共卫生服务中央补助资金（精神卫生补助经费）。</w:t>
      </w:r>
    </w:p>
    <w:p w:rsidR="009F5036" w:rsidRDefault="00514D84">
      <w:pPr>
        <w:ind w:firstLine="645"/>
        <w:rPr>
          <w:rStyle w:val="a7"/>
          <w:rFonts w:ascii="仿宋" w:eastAsia="仿宋" w:hAnsi="仿宋"/>
          <w:b w:val="0"/>
          <w:bCs/>
          <w:sz w:val="32"/>
          <w:szCs w:val="32"/>
        </w:rPr>
      </w:pPr>
      <w:r>
        <w:rPr>
          <w:rStyle w:val="a7"/>
          <w:rFonts w:ascii="仿宋" w:eastAsia="仿宋" w:hAnsi="仿宋" w:hint="eastAsia"/>
          <w:b w:val="0"/>
          <w:bCs/>
          <w:sz w:val="32"/>
          <w:szCs w:val="32"/>
        </w:rPr>
        <w:t>2100601</w:t>
      </w:r>
      <w:r>
        <w:rPr>
          <w:rStyle w:val="a7"/>
          <w:rFonts w:ascii="仿宋" w:eastAsia="仿宋" w:hAnsi="仿宋" w:hint="eastAsia"/>
          <w:b w:val="0"/>
          <w:bCs/>
          <w:sz w:val="32"/>
          <w:szCs w:val="32"/>
        </w:rPr>
        <w:t>中医（民族医）药专项</w:t>
      </w:r>
      <w:r>
        <w:rPr>
          <w:rStyle w:val="a7"/>
          <w:rFonts w:ascii="仿宋" w:eastAsia="仿宋" w:hAnsi="仿宋" w:hint="eastAsia"/>
          <w:b w:val="0"/>
          <w:bCs/>
          <w:sz w:val="32"/>
          <w:szCs w:val="32"/>
        </w:rPr>
        <w:t>3.27</w:t>
      </w:r>
      <w:r>
        <w:rPr>
          <w:rStyle w:val="a7"/>
          <w:rFonts w:ascii="仿宋" w:eastAsia="仿宋" w:hAnsi="仿宋" w:hint="eastAsia"/>
          <w:b w:val="0"/>
          <w:bCs/>
          <w:sz w:val="32"/>
          <w:szCs w:val="32"/>
        </w:rPr>
        <w:t>万元，决算数小于预算数，主要原因是省级财政中医药发展专项资金。</w:t>
      </w:r>
    </w:p>
    <w:p w:rsidR="009F5036" w:rsidRDefault="00514D84">
      <w:pPr>
        <w:ind w:firstLine="645"/>
        <w:rPr>
          <w:rStyle w:val="a7"/>
          <w:rFonts w:ascii="仿宋" w:eastAsia="仿宋" w:hAnsi="仿宋"/>
          <w:b w:val="0"/>
          <w:bCs/>
          <w:sz w:val="32"/>
          <w:szCs w:val="32"/>
        </w:rPr>
      </w:pPr>
      <w:r>
        <w:rPr>
          <w:rStyle w:val="a7"/>
          <w:rFonts w:ascii="仿宋" w:eastAsia="仿宋" w:hAnsi="仿宋" w:hint="eastAsia"/>
          <w:b w:val="0"/>
          <w:bCs/>
          <w:sz w:val="32"/>
          <w:szCs w:val="32"/>
        </w:rPr>
        <w:t>2100699</w:t>
      </w:r>
      <w:r>
        <w:rPr>
          <w:rStyle w:val="a7"/>
          <w:rFonts w:ascii="仿宋" w:eastAsia="仿宋" w:hAnsi="仿宋" w:hint="eastAsia"/>
          <w:b w:val="0"/>
          <w:bCs/>
          <w:sz w:val="32"/>
          <w:szCs w:val="32"/>
        </w:rPr>
        <w:t>其他中医药支出</w:t>
      </w:r>
      <w:r>
        <w:rPr>
          <w:rStyle w:val="a7"/>
          <w:rFonts w:ascii="仿宋" w:eastAsia="仿宋" w:hAnsi="仿宋" w:hint="eastAsia"/>
          <w:b w:val="0"/>
          <w:bCs/>
          <w:sz w:val="32"/>
          <w:szCs w:val="32"/>
        </w:rPr>
        <w:t>0.5</w:t>
      </w:r>
      <w:r>
        <w:rPr>
          <w:rStyle w:val="a7"/>
          <w:rFonts w:ascii="仿宋" w:eastAsia="仿宋" w:hAnsi="仿宋" w:hint="eastAsia"/>
          <w:b w:val="0"/>
          <w:bCs/>
          <w:sz w:val="32"/>
          <w:szCs w:val="32"/>
        </w:rPr>
        <w:t>万元，决算数等于预算数。</w:t>
      </w:r>
    </w:p>
    <w:p w:rsidR="009F5036" w:rsidRDefault="00514D84">
      <w:pPr>
        <w:ind w:firstLine="645"/>
        <w:rPr>
          <w:rStyle w:val="a7"/>
          <w:rFonts w:ascii="仿宋" w:eastAsia="仿宋" w:hAnsi="仿宋"/>
          <w:b w:val="0"/>
          <w:bCs/>
          <w:sz w:val="32"/>
          <w:szCs w:val="32"/>
        </w:rPr>
      </w:pPr>
      <w:r>
        <w:rPr>
          <w:rStyle w:val="a7"/>
          <w:rFonts w:ascii="仿宋" w:eastAsia="仿宋" w:hAnsi="仿宋" w:hint="eastAsia"/>
          <w:b w:val="0"/>
          <w:bCs/>
          <w:sz w:val="32"/>
          <w:szCs w:val="32"/>
        </w:rPr>
        <w:t>2101102</w:t>
      </w:r>
      <w:r>
        <w:rPr>
          <w:rStyle w:val="a7"/>
          <w:rFonts w:ascii="仿宋" w:eastAsia="仿宋" w:hAnsi="仿宋" w:hint="eastAsia"/>
          <w:b w:val="0"/>
          <w:bCs/>
          <w:sz w:val="32"/>
          <w:szCs w:val="32"/>
        </w:rPr>
        <w:t>事业单位医疗</w:t>
      </w:r>
      <w:r>
        <w:rPr>
          <w:rStyle w:val="a7"/>
          <w:rFonts w:ascii="仿宋" w:eastAsia="仿宋" w:hAnsi="仿宋" w:hint="eastAsia"/>
          <w:b w:val="0"/>
          <w:bCs/>
          <w:sz w:val="32"/>
          <w:szCs w:val="32"/>
        </w:rPr>
        <w:t>13.51</w:t>
      </w:r>
      <w:r>
        <w:rPr>
          <w:rStyle w:val="a7"/>
          <w:rFonts w:ascii="仿宋" w:eastAsia="仿宋" w:hAnsi="仿宋" w:hint="eastAsia"/>
          <w:b w:val="0"/>
          <w:bCs/>
          <w:sz w:val="32"/>
          <w:szCs w:val="32"/>
        </w:rPr>
        <w:t>万元，决算数等于预算数。</w:t>
      </w:r>
    </w:p>
    <w:p w:rsidR="009F5036" w:rsidRDefault="00514D84">
      <w:pPr>
        <w:ind w:firstLine="645"/>
        <w:rPr>
          <w:rStyle w:val="a7"/>
          <w:rFonts w:ascii="仿宋" w:eastAsia="仿宋" w:hAnsi="仿宋"/>
          <w:b w:val="0"/>
          <w:bCs/>
          <w:sz w:val="32"/>
          <w:szCs w:val="32"/>
        </w:rPr>
      </w:pPr>
      <w:r>
        <w:rPr>
          <w:rStyle w:val="a7"/>
          <w:rFonts w:ascii="仿宋" w:eastAsia="仿宋" w:hAnsi="仿宋" w:hint="eastAsia"/>
          <w:b w:val="0"/>
          <w:bCs/>
          <w:sz w:val="32"/>
          <w:szCs w:val="32"/>
        </w:rPr>
        <w:t>2101103</w:t>
      </w:r>
      <w:r>
        <w:rPr>
          <w:rStyle w:val="a7"/>
          <w:rFonts w:ascii="仿宋" w:eastAsia="仿宋" w:hAnsi="仿宋" w:hint="eastAsia"/>
          <w:b w:val="0"/>
          <w:bCs/>
          <w:sz w:val="32"/>
          <w:szCs w:val="32"/>
        </w:rPr>
        <w:t>公务员医疗补助</w:t>
      </w:r>
      <w:r>
        <w:rPr>
          <w:rStyle w:val="a7"/>
          <w:rFonts w:ascii="仿宋" w:eastAsia="仿宋" w:hAnsi="仿宋" w:hint="eastAsia"/>
          <w:b w:val="0"/>
          <w:bCs/>
          <w:sz w:val="32"/>
          <w:szCs w:val="32"/>
        </w:rPr>
        <w:t>1.35</w:t>
      </w:r>
      <w:r>
        <w:rPr>
          <w:rStyle w:val="a7"/>
          <w:rFonts w:ascii="仿宋" w:eastAsia="仿宋" w:hAnsi="仿宋" w:hint="eastAsia"/>
          <w:b w:val="0"/>
          <w:bCs/>
          <w:sz w:val="32"/>
          <w:szCs w:val="32"/>
        </w:rPr>
        <w:t>万元，决算数等于预算数。</w:t>
      </w:r>
    </w:p>
    <w:p w:rsidR="009F5036" w:rsidRDefault="00514D84">
      <w:pPr>
        <w:ind w:firstLine="645"/>
        <w:rPr>
          <w:rStyle w:val="a7"/>
          <w:rFonts w:ascii="仿宋" w:eastAsia="仿宋" w:hAnsi="仿宋"/>
          <w:b w:val="0"/>
          <w:bCs/>
          <w:sz w:val="32"/>
          <w:szCs w:val="32"/>
        </w:rPr>
      </w:pPr>
      <w:r>
        <w:rPr>
          <w:rStyle w:val="a7"/>
          <w:rFonts w:ascii="仿宋" w:eastAsia="仿宋" w:hAnsi="仿宋" w:hint="eastAsia"/>
          <w:b w:val="0"/>
          <w:bCs/>
          <w:sz w:val="32"/>
          <w:szCs w:val="32"/>
        </w:rPr>
        <w:t>2109901</w:t>
      </w:r>
      <w:r>
        <w:rPr>
          <w:rStyle w:val="a7"/>
          <w:rFonts w:ascii="仿宋" w:eastAsia="仿宋" w:hAnsi="仿宋" w:hint="eastAsia"/>
          <w:b w:val="0"/>
          <w:bCs/>
          <w:sz w:val="32"/>
          <w:szCs w:val="32"/>
        </w:rPr>
        <w:t>其他医疗卫生与计划生育支出</w:t>
      </w:r>
      <w:r>
        <w:rPr>
          <w:rStyle w:val="a7"/>
          <w:rFonts w:ascii="仿宋" w:eastAsia="仿宋" w:hAnsi="仿宋" w:hint="eastAsia"/>
          <w:b w:val="0"/>
          <w:bCs/>
          <w:sz w:val="32"/>
          <w:szCs w:val="32"/>
        </w:rPr>
        <w:t>16.5</w:t>
      </w:r>
      <w:r>
        <w:rPr>
          <w:rStyle w:val="a7"/>
          <w:rFonts w:ascii="仿宋" w:eastAsia="仿宋" w:hAnsi="仿宋" w:hint="eastAsia"/>
          <w:b w:val="0"/>
          <w:bCs/>
          <w:sz w:val="32"/>
          <w:szCs w:val="32"/>
        </w:rPr>
        <w:t>万元，决算数小于预算数，主要原因是基层医疗卫生机构服务能力提升、中央公共卫生监督管理资金、卫生事业省级定向财力转移支付资金（城市社区卫生及新农合监管）。</w:t>
      </w:r>
    </w:p>
    <w:p w:rsidR="009F5036" w:rsidRDefault="00514D84">
      <w:pPr>
        <w:spacing w:line="600" w:lineRule="exact"/>
        <w:ind w:firstLineChars="200" w:firstLine="643"/>
        <w:rPr>
          <w:rStyle w:val="a7"/>
          <w:rFonts w:ascii="仿宋" w:eastAsia="仿宋" w:hAnsi="仿宋"/>
          <w:bCs/>
          <w:sz w:val="32"/>
          <w:szCs w:val="32"/>
        </w:rPr>
      </w:pPr>
      <w:r>
        <w:rPr>
          <w:rStyle w:val="a7"/>
          <w:rFonts w:ascii="仿宋" w:eastAsia="仿宋" w:hAnsi="仿宋"/>
          <w:bCs/>
          <w:sz w:val="32"/>
          <w:szCs w:val="32"/>
        </w:rPr>
        <w:t>3.</w:t>
      </w:r>
      <w:r>
        <w:rPr>
          <w:rStyle w:val="a7"/>
          <w:rFonts w:ascii="仿宋" w:eastAsia="仿宋" w:hAnsi="仿宋" w:hint="eastAsia"/>
          <w:bCs/>
          <w:sz w:val="32"/>
          <w:szCs w:val="32"/>
        </w:rPr>
        <w:t>住房公积金支出</w:t>
      </w:r>
      <w:r>
        <w:rPr>
          <w:rStyle w:val="a7"/>
          <w:rFonts w:ascii="仿宋" w:eastAsia="仿宋" w:hAnsi="仿宋" w:hint="eastAsia"/>
          <w:bCs/>
          <w:sz w:val="32"/>
          <w:szCs w:val="32"/>
        </w:rPr>
        <w:t>23.63</w:t>
      </w:r>
      <w:r>
        <w:rPr>
          <w:rStyle w:val="a7"/>
          <w:rFonts w:ascii="仿宋" w:eastAsia="仿宋" w:hAnsi="仿宋" w:hint="eastAsia"/>
          <w:bCs/>
          <w:sz w:val="32"/>
          <w:szCs w:val="32"/>
        </w:rPr>
        <w:t>万元，决算数等于预算数。</w:t>
      </w:r>
    </w:p>
    <w:p w:rsidR="009F5036" w:rsidRDefault="00514D84">
      <w:pPr>
        <w:tabs>
          <w:tab w:val="right" w:pos="8306"/>
        </w:tabs>
        <w:spacing w:line="600" w:lineRule="exact"/>
        <w:ind w:firstLine="640"/>
        <w:outlineLvl w:val="1"/>
        <w:rPr>
          <w:rStyle w:val="20"/>
          <w:color w:val="0000FF"/>
        </w:rPr>
      </w:pPr>
      <w:bookmarkStart w:id="41" w:name="_Toc15377214"/>
      <w:bookmarkStart w:id="42"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41"/>
      <w:bookmarkEnd w:id="42"/>
      <w:r>
        <w:rPr>
          <w:rStyle w:val="20"/>
          <w:rFonts w:ascii="黑体" w:eastAsia="黑体" w:hAnsi="黑体"/>
          <w:b w:val="0"/>
          <w:color w:val="0000FF"/>
        </w:rPr>
        <w:tab/>
      </w:r>
    </w:p>
    <w:p w:rsidR="009F5036" w:rsidRDefault="00514D84">
      <w:pPr>
        <w:spacing w:line="600" w:lineRule="exact"/>
        <w:ind w:firstLine="645"/>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年一般公共预算财政拨款基本支出</w:t>
      </w:r>
      <w:r>
        <w:rPr>
          <w:rFonts w:ascii="仿宋" w:eastAsia="仿宋" w:hAnsi="仿宋" w:hint="eastAsia"/>
          <w:sz w:val="32"/>
          <w:szCs w:val="32"/>
        </w:rPr>
        <w:t>272.94</w:t>
      </w:r>
      <w:r>
        <w:rPr>
          <w:rFonts w:ascii="仿宋" w:eastAsia="仿宋" w:hAnsi="仿宋" w:hint="eastAsia"/>
          <w:sz w:val="32"/>
          <w:szCs w:val="32"/>
        </w:rPr>
        <w:t>万元，其中：</w:t>
      </w:r>
    </w:p>
    <w:p w:rsidR="009F5036" w:rsidRDefault="00514D84">
      <w:pPr>
        <w:spacing w:line="600" w:lineRule="exact"/>
        <w:ind w:firstLine="645"/>
        <w:rPr>
          <w:rFonts w:ascii="仿宋" w:eastAsia="仿宋" w:hAnsi="仿宋"/>
          <w:color w:val="000000" w:themeColor="text1"/>
          <w:sz w:val="32"/>
          <w:szCs w:val="32"/>
        </w:rPr>
      </w:pPr>
      <w:r>
        <w:rPr>
          <w:rFonts w:ascii="仿宋" w:eastAsia="仿宋" w:hAnsi="仿宋" w:hint="eastAsia"/>
          <w:sz w:val="32"/>
          <w:szCs w:val="32"/>
        </w:rPr>
        <w:t>人员经费</w:t>
      </w:r>
      <w:r>
        <w:rPr>
          <w:rFonts w:ascii="仿宋" w:eastAsia="仿宋" w:hAnsi="仿宋" w:hint="eastAsia"/>
          <w:sz w:val="32"/>
          <w:szCs w:val="32"/>
        </w:rPr>
        <w:t>265.41</w:t>
      </w:r>
      <w:r>
        <w:rPr>
          <w:rFonts w:ascii="仿宋" w:eastAsia="仿宋" w:hAnsi="仿宋" w:hint="eastAsia"/>
          <w:sz w:val="32"/>
          <w:szCs w:val="32"/>
        </w:rPr>
        <w:t>万元，</w:t>
      </w:r>
      <w:r>
        <w:rPr>
          <w:rFonts w:ascii="仿宋" w:eastAsia="仿宋" w:hAnsi="仿宋" w:hint="eastAsia"/>
          <w:color w:val="000000" w:themeColor="text1"/>
          <w:sz w:val="32"/>
          <w:szCs w:val="32"/>
        </w:rPr>
        <w:t>主要包括：基本工资、津贴补贴、奖金、伙食补助费、绩效工资、机关事业单位基本养老保险缴费、职业年金缴费、其他社会保障缴费、其他工资福</w:t>
      </w:r>
      <w:r>
        <w:rPr>
          <w:rFonts w:ascii="仿宋" w:eastAsia="仿宋" w:hAnsi="仿宋" w:hint="eastAsia"/>
          <w:color w:val="000000" w:themeColor="text1"/>
          <w:sz w:val="32"/>
          <w:szCs w:val="32"/>
        </w:rPr>
        <w:lastRenderedPageBreak/>
        <w:t>利支出、离休费、退休费、抚恤金、生活补助、医疗费、奖励金、住房公积金、提租补贴、购房补贴、其他对个人和家庭的补助支出等。</w:t>
      </w:r>
      <w:r>
        <w:rPr>
          <w:rFonts w:ascii="仿宋" w:eastAsia="仿宋" w:hAnsi="仿宋"/>
          <w:color w:val="000000" w:themeColor="text1"/>
          <w:sz w:val="32"/>
          <w:szCs w:val="32"/>
        </w:rPr>
        <w:br/>
      </w:r>
      <w:r>
        <w:rPr>
          <w:rFonts w:ascii="仿宋" w:eastAsia="仿宋" w:hAnsi="仿宋" w:hint="eastAsia"/>
          <w:color w:val="0000FF"/>
          <w:sz w:val="32"/>
          <w:szCs w:val="32"/>
        </w:rPr>
        <w:t xml:space="preserve">　</w:t>
      </w:r>
      <w:r>
        <w:rPr>
          <w:rFonts w:ascii="仿宋" w:eastAsia="仿宋" w:hAnsi="仿宋" w:hint="eastAsia"/>
          <w:sz w:val="32"/>
          <w:szCs w:val="32"/>
        </w:rPr>
        <w:t xml:space="preserve">　公用经费</w:t>
      </w:r>
      <w:r>
        <w:rPr>
          <w:rFonts w:ascii="仿宋" w:eastAsia="仿宋" w:hAnsi="仿宋" w:hint="eastAsia"/>
          <w:sz w:val="32"/>
          <w:szCs w:val="32"/>
        </w:rPr>
        <w:t>7.53</w:t>
      </w:r>
      <w:r>
        <w:rPr>
          <w:rFonts w:ascii="仿宋" w:eastAsia="仿宋" w:hAnsi="仿宋" w:hint="eastAsia"/>
          <w:sz w:val="32"/>
          <w:szCs w:val="32"/>
        </w:rPr>
        <w:t>万元，</w:t>
      </w:r>
      <w:r>
        <w:rPr>
          <w:rFonts w:ascii="仿宋" w:eastAsia="仿宋" w:hAnsi="仿宋" w:hint="eastAsia"/>
          <w:color w:val="000000" w:themeColor="text1"/>
          <w:sz w:val="32"/>
          <w:szCs w:val="32"/>
        </w:rPr>
        <w:t>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9F5036" w:rsidRDefault="00514D84">
      <w:pPr>
        <w:spacing w:line="600" w:lineRule="exact"/>
        <w:ind w:firstLine="640"/>
        <w:outlineLvl w:val="1"/>
        <w:rPr>
          <w:rStyle w:val="20"/>
          <w:rFonts w:ascii="黑体" w:eastAsia="黑体" w:hAnsi="黑体"/>
          <w:b w:val="0"/>
        </w:rPr>
      </w:pPr>
      <w:bookmarkStart w:id="43" w:name="_Toc15377215"/>
      <w:bookmarkStart w:id="44" w:name="_Toc15396609"/>
      <w:r>
        <w:rPr>
          <w:rFonts w:ascii="黑体" w:eastAsia="黑体" w:hint="eastAsia"/>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43"/>
      <w:bookmarkEnd w:id="44"/>
    </w:p>
    <w:p w:rsidR="009F5036" w:rsidRDefault="00514D84">
      <w:pPr>
        <w:spacing w:line="600" w:lineRule="exact"/>
        <w:ind w:firstLine="640"/>
        <w:outlineLvl w:val="2"/>
        <w:rPr>
          <w:rFonts w:ascii="仿宋" w:eastAsia="仿宋" w:hAnsi="仿宋"/>
          <w:b/>
          <w:color w:val="000000"/>
          <w:sz w:val="32"/>
          <w:szCs w:val="32"/>
        </w:rPr>
      </w:pPr>
      <w:bookmarkStart w:id="45" w:name="_Toc15377216"/>
      <w:bookmarkStart w:id="46" w:name="_Toc15377218"/>
      <w:bookmarkStart w:id="47" w:name="_Toc15396610"/>
      <w:r>
        <w:rPr>
          <w:rFonts w:ascii="仿宋" w:eastAsia="仿宋" w:hAnsi="仿宋" w:hint="eastAsia"/>
          <w:b/>
          <w:color w:val="000000"/>
          <w:sz w:val="32"/>
          <w:szCs w:val="32"/>
        </w:rPr>
        <w:t>（一）“三公”经费财政拨款支出决算总体情况说明</w:t>
      </w:r>
      <w:bookmarkEnd w:id="45"/>
    </w:p>
    <w:p w:rsidR="009F5036" w:rsidRDefault="00514D84">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0.034</w:t>
      </w:r>
      <w:r>
        <w:rPr>
          <w:rFonts w:ascii="仿宋" w:eastAsia="仿宋" w:hAnsi="仿宋" w:hint="eastAsia"/>
          <w:color w:val="000000"/>
          <w:sz w:val="32"/>
          <w:szCs w:val="32"/>
        </w:rPr>
        <w:t>万元，完成预算</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，决算数</w:t>
      </w:r>
      <w:r>
        <w:rPr>
          <w:rFonts w:ascii="仿宋" w:eastAsia="仿宋" w:hAnsi="仿宋" w:hint="eastAsia"/>
          <w:color w:val="000000"/>
          <w:sz w:val="32"/>
          <w:szCs w:val="32"/>
        </w:rPr>
        <w:t>等于</w:t>
      </w:r>
      <w:r>
        <w:rPr>
          <w:rFonts w:ascii="仿宋" w:eastAsia="仿宋" w:hAnsi="仿宋" w:hint="eastAsia"/>
          <w:color w:val="000000"/>
          <w:sz w:val="32"/>
          <w:szCs w:val="32"/>
        </w:rPr>
        <w:t>预算数。</w:t>
      </w:r>
    </w:p>
    <w:p w:rsidR="009F5036" w:rsidRDefault="00514D84">
      <w:pPr>
        <w:spacing w:line="600" w:lineRule="exact"/>
        <w:ind w:firstLine="640"/>
        <w:outlineLvl w:val="2"/>
        <w:rPr>
          <w:rFonts w:ascii="仿宋" w:eastAsia="仿宋" w:hAnsi="仿宋"/>
          <w:b/>
          <w:color w:val="000000"/>
          <w:sz w:val="32"/>
          <w:szCs w:val="32"/>
        </w:rPr>
      </w:pPr>
      <w:bookmarkStart w:id="48" w:name="_Toc15377217"/>
      <w:r>
        <w:rPr>
          <w:rFonts w:ascii="仿宋" w:eastAsia="仿宋" w:hAnsi="仿宋" w:hint="eastAsia"/>
          <w:b/>
          <w:color w:val="000000"/>
          <w:sz w:val="32"/>
          <w:szCs w:val="32"/>
        </w:rPr>
        <w:t>（二）“三公”经费财政拨款支出决算具体情况说明</w:t>
      </w:r>
      <w:bookmarkEnd w:id="48"/>
    </w:p>
    <w:p w:rsidR="009F5036" w:rsidRDefault="00514D84">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年“三公”经费财政拨款支出决算中，公务接待费支出决算</w:t>
      </w:r>
      <w:r>
        <w:rPr>
          <w:rFonts w:ascii="仿宋" w:eastAsia="仿宋" w:hAnsi="仿宋" w:hint="eastAsia"/>
          <w:color w:val="000000"/>
          <w:sz w:val="32"/>
          <w:szCs w:val="32"/>
        </w:rPr>
        <w:t>0.034</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9F5036" w:rsidRDefault="00514D84">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公务接待费支出</w:t>
      </w:r>
      <w:r>
        <w:rPr>
          <w:rFonts w:ascii="仿宋_GB2312" w:eastAsia="仿宋_GB2312" w:hint="eastAsia"/>
          <w:color w:val="000000"/>
          <w:sz w:val="32"/>
          <w:szCs w:val="32"/>
        </w:rPr>
        <w:t>0.034</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w:t>
      </w:r>
      <w:r>
        <w:rPr>
          <w:rFonts w:ascii="仿宋_GB2312" w:eastAsia="仿宋_GB2312" w:hint="eastAsia"/>
          <w:color w:val="000000"/>
          <w:sz w:val="32"/>
          <w:szCs w:val="32"/>
        </w:rPr>
        <w:t>与</w:t>
      </w:r>
      <w:r>
        <w:rPr>
          <w:rFonts w:ascii="仿宋_GB2312" w:eastAsia="仿宋_GB2312"/>
          <w:color w:val="000000"/>
          <w:sz w:val="32"/>
          <w:szCs w:val="32"/>
        </w:rPr>
        <w:t>201</w:t>
      </w:r>
      <w:r>
        <w:rPr>
          <w:rFonts w:ascii="仿宋_GB2312" w:eastAsia="仿宋_GB2312" w:hint="eastAsia"/>
          <w:color w:val="000000"/>
          <w:sz w:val="32"/>
          <w:szCs w:val="32"/>
        </w:rPr>
        <w:t>7</w:t>
      </w:r>
      <w:r>
        <w:rPr>
          <w:rFonts w:ascii="仿宋_GB2312" w:eastAsia="仿宋_GB2312" w:hint="eastAsia"/>
          <w:color w:val="000000"/>
          <w:sz w:val="32"/>
          <w:szCs w:val="32"/>
        </w:rPr>
        <w:t>持平</w:t>
      </w:r>
      <w:r>
        <w:rPr>
          <w:rFonts w:ascii="仿宋_GB2312" w:eastAsia="仿宋_GB2312" w:hint="eastAsia"/>
          <w:color w:val="000000"/>
          <w:sz w:val="32"/>
          <w:szCs w:val="32"/>
        </w:rPr>
        <w:t>。</w:t>
      </w:r>
    </w:p>
    <w:p w:rsidR="009F5036" w:rsidRDefault="00514D84">
      <w:pPr>
        <w:spacing w:line="600" w:lineRule="exact"/>
        <w:ind w:firstLine="640"/>
        <w:outlineLvl w:val="1"/>
        <w:rPr>
          <w:rStyle w:val="20"/>
          <w:rFonts w:ascii="黑体" w:eastAsia="黑体" w:hAnsi="黑体"/>
        </w:rPr>
      </w:pPr>
      <w:r>
        <w:rPr>
          <w:rFonts w:ascii="黑体" w:eastAsia="黑体" w:hint="eastAsia"/>
          <w:sz w:val="32"/>
          <w:szCs w:val="32"/>
        </w:rPr>
        <w:t>八、</w:t>
      </w:r>
      <w:r>
        <w:rPr>
          <w:rStyle w:val="20"/>
          <w:rFonts w:ascii="黑体" w:eastAsia="黑体" w:hAnsi="黑体" w:hint="eastAsia"/>
          <w:b w:val="0"/>
        </w:rPr>
        <w:t>政府性基金预算支出决算情况说明</w:t>
      </w:r>
      <w:bookmarkEnd w:id="46"/>
      <w:bookmarkEnd w:id="47"/>
    </w:p>
    <w:p w:rsidR="009F5036" w:rsidRDefault="00514D84">
      <w:pPr>
        <w:spacing w:line="600" w:lineRule="exact"/>
        <w:ind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8</w:t>
      </w:r>
      <w:r>
        <w:rPr>
          <w:rFonts w:ascii="仿宋_GB2312" w:eastAsia="仿宋_GB2312" w:hint="eastAsia"/>
          <w:sz w:val="32"/>
          <w:szCs w:val="32"/>
        </w:rPr>
        <w:t>年无政府性基金预算拨款支出。</w:t>
      </w:r>
    </w:p>
    <w:p w:rsidR="009F5036" w:rsidRDefault="00514D84">
      <w:pPr>
        <w:numPr>
          <w:ilvl w:val="0"/>
          <w:numId w:val="2"/>
        </w:numPr>
        <w:spacing w:line="600" w:lineRule="exact"/>
        <w:ind w:firstLine="640"/>
        <w:outlineLvl w:val="1"/>
        <w:rPr>
          <w:rStyle w:val="20"/>
          <w:rFonts w:ascii="黑体" w:eastAsia="黑体" w:hAnsi="黑体"/>
          <w:b w:val="0"/>
        </w:rPr>
      </w:pPr>
      <w:bookmarkStart w:id="49" w:name="_Toc15396611"/>
      <w:bookmarkStart w:id="50" w:name="_Toc15377219"/>
      <w:r>
        <w:rPr>
          <w:rStyle w:val="20"/>
          <w:rFonts w:ascii="黑体" w:eastAsia="黑体" w:hAnsi="黑体" w:hint="eastAsia"/>
          <w:b w:val="0"/>
        </w:rPr>
        <w:t>国有资本经营预算支出决算情况说明</w:t>
      </w:r>
      <w:bookmarkEnd w:id="49"/>
      <w:bookmarkEnd w:id="50"/>
    </w:p>
    <w:p w:rsidR="009F5036" w:rsidRDefault="00514D84">
      <w:pPr>
        <w:spacing w:line="600" w:lineRule="exact"/>
        <w:ind w:firstLine="640"/>
        <w:rPr>
          <w:rFonts w:ascii="仿宋_GB2312" w:eastAsia="仿宋_GB2312"/>
          <w:color w:val="0000FF"/>
          <w:sz w:val="32"/>
          <w:szCs w:val="32"/>
        </w:rPr>
      </w:pPr>
      <w:r>
        <w:rPr>
          <w:rFonts w:ascii="仿宋_GB2312" w:eastAsia="仿宋_GB2312"/>
          <w:sz w:val="32"/>
          <w:szCs w:val="32"/>
        </w:rPr>
        <w:t>201</w:t>
      </w:r>
      <w:r>
        <w:rPr>
          <w:rFonts w:ascii="仿宋_GB2312" w:eastAsia="仿宋_GB2312" w:hint="eastAsia"/>
          <w:sz w:val="32"/>
          <w:szCs w:val="32"/>
        </w:rPr>
        <w:t>8</w:t>
      </w:r>
      <w:r>
        <w:rPr>
          <w:rFonts w:ascii="仿宋_GB2312" w:eastAsia="仿宋_GB2312" w:hint="eastAsia"/>
          <w:sz w:val="32"/>
          <w:szCs w:val="32"/>
        </w:rPr>
        <w:t>年无国有资本经营预算拨款支出。</w:t>
      </w:r>
    </w:p>
    <w:p w:rsidR="009F5036" w:rsidRDefault="00514D84">
      <w:pPr>
        <w:pStyle w:val="a9"/>
        <w:numPr>
          <w:ilvl w:val="0"/>
          <w:numId w:val="3"/>
        </w:numPr>
        <w:spacing w:line="580" w:lineRule="exact"/>
        <w:ind w:firstLineChars="0"/>
        <w:rPr>
          <w:rStyle w:val="20"/>
          <w:rFonts w:ascii="黑体" w:eastAsia="黑体" w:hAnsi="黑体"/>
          <w:b w:val="0"/>
        </w:rPr>
      </w:pPr>
      <w:r>
        <w:rPr>
          <w:rStyle w:val="20"/>
          <w:rFonts w:ascii="黑体" w:eastAsia="黑体" w:hAnsi="黑体" w:hint="eastAsia"/>
          <w:b w:val="0"/>
        </w:rPr>
        <w:lastRenderedPageBreak/>
        <w:t>预算绩效情况说明</w:t>
      </w:r>
    </w:p>
    <w:p w:rsidR="009F5036" w:rsidRDefault="00514D84">
      <w:pPr>
        <w:numPr>
          <w:ilvl w:val="0"/>
          <w:numId w:val="4"/>
        </w:numPr>
        <w:spacing w:line="580" w:lineRule="exact"/>
        <w:ind w:firstLineChars="200" w:firstLine="643"/>
        <w:rPr>
          <w:rFonts w:ascii="仿宋" w:eastAsia="仿宋" w:hAnsi="仿宋" w:cs="楷体_GB2312"/>
          <w:b/>
          <w:bCs/>
          <w:color w:val="000000" w:themeColor="text1"/>
          <w:sz w:val="32"/>
          <w:szCs w:val="32"/>
        </w:rPr>
      </w:pPr>
      <w:r>
        <w:rPr>
          <w:rFonts w:ascii="仿宋" w:eastAsia="仿宋" w:hAnsi="仿宋" w:cs="楷体_GB2312" w:hint="eastAsia"/>
          <w:b/>
          <w:bCs/>
          <w:color w:val="000000" w:themeColor="text1"/>
          <w:sz w:val="32"/>
          <w:szCs w:val="32"/>
        </w:rPr>
        <w:t>预算绩效管理工作开展情况。</w:t>
      </w:r>
    </w:p>
    <w:p w:rsidR="009F5036" w:rsidRDefault="00514D84">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根据预算绩效管理要求，本单位在年初预算编制阶段，组织对</w:t>
      </w:r>
      <w:r>
        <w:rPr>
          <w:rFonts w:ascii="仿宋_GB2312" w:eastAsia="仿宋_GB2312" w:hAnsi="仿宋_GB2312" w:cs="仿宋_GB2312" w:hint="eastAsia"/>
          <w:color w:val="000000" w:themeColor="text1"/>
          <w:sz w:val="32"/>
          <w:szCs w:val="32"/>
        </w:rPr>
        <w:t>基本公共卫生服务经费、基本药物补助经费等</w:t>
      </w:r>
      <w:r>
        <w:rPr>
          <w:rFonts w:ascii="仿宋_GB2312" w:eastAsia="仿宋_GB2312" w:hAnsi="仿宋_GB2312" w:cs="仿宋_GB2312" w:hint="eastAsia"/>
          <w:color w:val="000000" w:themeColor="text1"/>
          <w:sz w:val="32"/>
          <w:szCs w:val="32"/>
        </w:rPr>
        <w:t>项目开展了预算事前绩效评估，对</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个项目编制了绩效目标，预算执行过程中，选取</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个项目开展绩效监控，年终执行完毕后，对</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个项目开展了绩效目标完成情况梳理填报。</w:t>
      </w:r>
    </w:p>
    <w:p w:rsidR="009F5036" w:rsidRDefault="00514D84">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本单位按要求对</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年部门整体支出开展绩效自评，从评价情况来看都按要求全部完成。</w:t>
      </w:r>
    </w:p>
    <w:p w:rsidR="009F5036" w:rsidRDefault="00514D84">
      <w:pPr>
        <w:numPr>
          <w:ilvl w:val="0"/>
          <w:numId w:val="4"/>
        </w:numPr>
        <w:spacing w:line="580" w:lineRule="exact"/>
        <w:ind w:firstLineChars="200" w:firstLine="643"/>
        <w:rPr>
          <w:rFonts w:ascii="仿宋_GB2312" w:eastAsia="仿宋_GB2312" w:hAnsi="仿宋_GB2312" w:cs="仿宋_GB2312"/>
          <w:color w:val="000000" w:themeColor="text1"/>
          <w:sz w:val="32"/>
          <w:szCs w:val="32"/>
        </w:rPr>
      </w:pPr>
      <w:r>
        <w:rPr>
          <w:rFonts w:ascii="仿宋" w:eastAsia="仿宋" w:hAnsi="仿宋" w:cs="楷体_GB2312" w:hint="eastAsia"/>
          <w:b/>
          <w:bCs/>
          <w:color w:val="000000" w:themeColor="text1"/>
          <w:sz w:val="32"/>
          <w:szCs w:val="32"/>
        </w:rPr>
        <w:t>项目绩效目标完成情况。</w:t>
      </w:r>
      <w:r>
        <w:rPr>
          <w:rFonts w:ascii="楷体_GB2312" w:eastAsia="楷体_GB2312" w:hAnsi="楷体_GB2312" w:cs="楷体_GB2312" w:hint="eastAsia"/>
          <w:b/>
          <w:bCs/>
          <w:color w:val="000000" w:themeColor="text1"/>
          <w:sz w:val="32"/>
          <w:szCs w:val="32"/>
        </w:rPr>
        <w:br/>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本单位在</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年度部门决算中反映的“</w:t>
      </w:r>
      <w:r>
        <w:rPr>
          <w:rFonts w:ascii="仿宋_GB2312" w:eastAsia="仿宋_GB2312" w:hint="eastAsia"/>
          <w:color w:val="000000" w:themeColor="text1"/>
          <w:sz w:val="32"/>
          <w:szCs w:val="32"/>
        </w:rPr>
        <w:t>基本公共卫生服务经费</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等项目年度实际完成情况良好。</w:t>
      </w:r>
    </w:p>
    <w:p w:rsidR="009F5036" w:rsidRDefault="00514D84">
      <w:pPr>
        <w:numPr>
          <w:ilvl w:val="0"/>
          <w:numId w:val="4"/>
        </w:num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项目绩效目标完成情况综述</w:t>
      </w:r>
    </w:p>
    <w:p w:rsidR="009F5036" w:rsidRDefault="00514D84">
      <w:pPr>
        <w:tabs>
          <w:tab w:val="left" w:pos="312"/>
        </w:tabs>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基本药物补助经费</w:t>
      </w:r>
    </w:p>
    <w:p w:rsidR="009F5036" w:rsidRDefault="00514D84">
      <w:pPr>
        <w:tabs>
          <w:tab w:val="left" w:pos="312"/>
        </w:tabs>
        <w:spacing w:line="58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项目全年预算数</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万元，执行数为</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万元，完成预算的</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。通过项目实施，</w:t>
      </w:r>
      <w:r>
        <w:rPr>
          <w:rFonts w:ascii="仿宋_GB2312" w:eastAsia="仿宋_GB2312" w:hint="eastAsia"/>
          <w:color w:val="000000" w:themeColor="text1"/>
          <w:sz w:val="32"/>
          <w:szCs w:val="32"/>
        </w:rPr>
        <w:t>保障了人民群众基本用药，减轻群众基本用药费用负担。</w:t>
      </w: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9F5036">
        <w:trPr>
          <w:trHeight w:val="1034"/>
        </w:trPr>
        <w:tc>
          <w:tcPr>
            <w:tcW w:w="9960" w:type="dxa"/>
            <w:gridSpan w:val="6"/>
            <w:tcMar>
              <w:top w:w="15" w:type="dxa"/>
              <w:left w:w="15" w:type="dxa"/>
              <w:bottom w:w="0" w:type="dxa"/>
              <w:right w:w="15" w:type="dxa"/>
            </w:tcMar>
            <w:vAlign w:val="center"/>
          </w:tcPr>
          <w:p w:rsidR="009F5036" w:rsidRDefault="00514D84">
            <w:pPr>
              <w:pStyle w:val="a9"/>
              <w:widowControl/>
              <w:spacing w:before="93"/>
              <w:ind w:leftChars="1310" w:left="4173" w:hangingChars="395" w:hanging="1422"/>
              <w:textAlignment w:val="center"/>
              <w:rPr>
                <w:rFonts w:ascii="宋体" w:hAnsi="宋体" w:cs="宋体"/>
                <w:color w:val="000000" w:themeColor="text1"/>
                <w:sz w:val="36"/>
                <w:szCs w:val="36"/>
              </w:rPr>
            </w:pPr>
            <w:r>
              <w:rPr>
                <w:rFonts w:ascii="黑体" w:eastAsia="黑体" w:hAnsi="黑体" w:cs="宋体" w:hint="eastAsia"/>
                <w:bCs/>
                <w:color w:val="000000" w:themeColor="text1"/>
                <w:kern w:val="0"/>
                <w:sz w:val="36"/>
                <w:szCs w:val="36"/>
                <w:lang w:bidi="ar"/>
              </w:rPr>
              <w:t>项目支出绩效目标完成情况表</w:t>
            </w:r>
            <w:r>
              <w:rPr>
                <w:rFonts w:ascii="宋体" w:hAnsi="宋体" w:cs="宋体" w:hint="eastAsia"/>
                <w:b/>
                <w:bCs/>
                <w:color w:val="000000" w:themeColor="text1"/>
                <w:kern w:val="0"/>
                <w:sz w:val="36"/>
                <w:szCs w:val="36"/>
                <w:lang w:bidi="ar"/>
              </w:rPr>
              <w:br/>
            </w:r>
            <w:r>
              <w:rPr>
                <w:rFonts w:ascii="宋体" w:hAnsi="宋体" w:cs="宋体" w:hint="eastAsia"/>
                <w:color w:val="000000" w:themeColor="text1"/>
                <w:kern w:val="0"/>
                <w:sz w:val="36"/>
                <w:szCs w:val="36"/>
                <w:lang w:bidi="ar"/>
              </w:rPr>
              <w:t xml:space="preserve">(2018 </w:t>
            </w:r>
            <w:r>
              <w:rPr>
                <w:rFonts w:ascii="宋体" w:hAnsi="宋体" w:cs="宋体" w:hint="eastAsia"/>
                <w:color w:val="000000" w:themeColor="text1"/>
                <w:kern w:val="0"/>
                <w:sz w:val="36"/>
                <w:szCs w:val="36"/>
                <w:lang w:bidi="ar"/>
              </w:rPr>
              <w:t>年度</w:t>
            </w:r>
            <w:r>
              <w:rPr>
                <w:rFonts w:ascii="宋体" w:hAnsi="宋体" w:cs="宋体" w:hint="eastAsia"/>
                <w:color w:val="000000" w:themeColor="text1"/>
                <w:kern w:val="0"/>
                <w:sz w:val="36"/>
                <w:szCs w:val="36"/>
                <w:lang w:bidi="ar"/>
              </w:rPr>
              <w:t>)</w:t>
            </w:r>
          </w:p>
        </w:tc>
      </w:tr>
      <w:tr w:rsidR="009F5036">
        <w:trPr>
          <w:trHeight w:val="63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tabs>
                <w:tab w:val="left" w:pos="312"/>
              </w:tabs>
              <w:spacing w:line="580" w:lineRule="exact"/>
              <w:ind w:firstLineChars="800" w:firstLine="1920"/>
              <w:rPr>
                <w:rFonts w:ascii="宋体" w:hAnsi="宋体" w:cs="宋体"/>
                <w:color w:val="000000" w:themeColor="text1"/>
                <w:kern w:val="0"/>
                <w:sz w:val="24"/>
                <w:lang w:bidi="ar"/>
              </w:rPr>
            </w:pPr>
            <w:r>
              <w:rPr>
                <w:rFonts w:ascii="宋体" w:hAnsi="宋体" w:cs="宋体" w:hint="eastAsia"/>
                <w:color w:val="000000" w:themeColor="text1"/>
                <w:kern w:val="0"/>
                <w:sz w:val="24"/>
                <w:lang w:bidi="ar"/>
              </w:rPr>
              <w:t>基本药物补助经费</w:t>
            </w:r>
          </w:p>
        </w:tc>
      </w:tr>
      <w:tr w:rsidR="009F503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西区</w:t>
            </w:r>
            <w:r>
              <w:rPr>
                <w:rFonts w:ascii="宋体" w:hAnsi="宋体" w:cs="宋体" w:hint="eastAsia"/>
                <w:color w:val="000000" w:themeColor="text1"/>
                <w:kern w:val="0"/>
                <w:sz w:val="24"/>
                <w:lang w:bidi="ar"/>
              </w:rPr>
              <w:t>公共卫生管理中心</w:t>
            </w:r>
          </w:p>
        </w:tc>
      </w:tr>
      <w:tr w:rsidR="009F5036">
        <w:trPr>
          <w:trHeight w:val="55"/>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预算执行</w:t>
            </w:r>
            <w:r>
              <w:rPr>
                <w:rFonts w:ascii="宋体" w:hAnsi="宋体" w:cs="宋体" w:hint="eastAsia"/>
                <w:color w:val="000000" w:themeColor="text1"/>
                <w:kern w:val="0"/>
                <w:sz w:val="18"/>
                <w:szCs w:val="18"/>
                <w:lang w:bidi="ar"/>
              </w:rPr>
              <w:lastRenderedPageBreak/>
              <w:t>情况</w:t>
            </w: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万元</w:t>
            </w:r>
            <w:r>
              <w:rPr>
                <w:rFonts w:ascii="宋体" w:hAnsi="宋体" w:cs="宋体" w:hint="eastAsia"/>
                <w:color w:val="000000" w:themeColor="text1"/>
                <w:kern w:val="0"/>
                <w:sz w:val="18"/>
                <w:szCs w:val="18"/>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lastRenderedPageBreak/>
              <w:t>预算数</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30</w:t>
            </w:r>
            <w:r>
              <w:rPr>
                <w:rFonts w:ascii="宋体" w:hAnsi="宋体" w:cs="宋体" w:hint="eastAsia"/>
                <w:color w:val="000000" w:themeColor="text1"/>
                <w:kern w:val="0"/>
                <w:sz w:val="24"/>
                <w:lang w:bidi="ar"/>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执行数</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30</w:t>
            </w:r>
            <w:r>
              <w:rPr>
                <w:rFonts w:ascii="宋体" w:hAnsi="宋体" w:cs="宋体" w:hint="eastAsia"/>
                <w:color w:val="000000" w:themeColor="text1"/>
                <w:kern w:val="0"/>
                <w:sz w:val="24"/>
                <w:lang w:bidi="ar"/>
              </w:rPr>
              <w:t>万元</w:t>
            </w:r>
          </w:p>
        </w:tc>
      </w:tr>
      <w:tr w:rsidR="009F5036">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其中</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财政拨款</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30</w:t>
            </w:r>
            <w:r>
              <w:rPr>
                <w:rFonts w:ascii="宋体" w:hAnsi="宋体" w:cs="宋体" w:hint="eastAsia"/>
                <w:color w:val="000000" w:themeColor="text1"/>
                <w:kern w:val="0"/>
                <w:sz w:val="24"/>
                <w:lang w:bidi="ar"/>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其中</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财政拨款</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30</w:t>
            </w:r>
            <w:r>
              <w:rPr>
                <w:rFonts w:ascii="宋体" w:hAnsi="宋体" w:cs="宋体" w:hint="eastAsia"/>
                <w:color w:val="000000" w:themeColor="text1"/>
                <w:kern w:val="0"/>
                <w:sz w:val="24"/>
                <w:lang w:bidi="ar"/>
              </w:rPr>
              <w:t>万元</w:t>
            </w:r>
          </w:p>
        </w:tc>
      </w:tr>
      <w:tr w:rsidR="009F5036">
        <w:trPr>
          <w:trHeight w:val="11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其它资金</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其它资金</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无</w:t>
            </w:r>
          </w:p>
        </w:tc>
      </w:tr>
      <w:tr w:rsidR="009F503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实际完成目标</w:t>
            </w:r>
          </w:p>
        </w:tc>
      </w:tr>
      <w:tr w:rsidR="009F5036">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p>
        </w:tc>
      </w:tr>
      <w:tr w:rsidR="009F5036">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预期指标值</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包含数字及文字描述</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实际完成指标值</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包含数字及文字描述</w:t>
            </w:r>
            <w:r>
              <w:rPr>
                <w:rFonts w:ascii="宋体" w:hAnsi="宋体" w:cs="宋体" w:hint="eastAsia"/>
                <w:color w:val="000000" w:themeColor="text1"/>
                <w:kern w:val="0"/>
                <w:sz w:val="24"/>
                <w:lang w:bidi="ar"/>
              </w:rPr>
              <w:t>)</w:t>
            </w:r>
          </w:p>
        </w:tc>
      </w:tr>
      <w:tr w:rsidR="009F5036">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hint="eastAsia"/>
                <w:color w:val="000000" w:themeColor="text1"/>
                <w:sz w:val="20"/>
                <w:szCs w:val="20"/>
              </w:rPr>
              <w:t>国家基本药物制度经费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jc w:val="center"/>
              <w:rPr>
                <w:rFonts w:ascii="宋体" w:hAnsi="宋体" w:cs="宋体"/>
                <w:color w:val="000000" w:themeColor="text1"/>
                <w:sz w:val="24"/>
              </w:rPr>
            </w:pPr>
            <w:r>
              <w:rPr>
                <w:rFonts w:hint="eastAsia"/>
                <w:color w:val="000000" w:themeColor="text1"/>
              </w:rPr>
              <w:t>100</w:t>
            </w:r>
            <w:r>
              <w:rPr>
                <w:rFonts w:hint="eastAsia"/>
                <w:color w:val="000000" w:themeColor="text1"/>
              </w:rPr>
              <w:t>%</w:t>
            </w:r>
          </w:p>
          <w:p w:rsidR="009F5036" w:rsidRDefault="009F5036">
            <w:pPr>
              <w:widowControl/>
              <w:jc w:val="center"/>
              <w:textAlignment w:val="center"/>
              <w:rPr>
                <w:rFonts w:ascii="宋体" w:hAnsi="宋体" w:cs="宋体"/>
                <w:color w:val="000000" w:themeColor="text1"/>
                <w:kern w:val="0"/>
                <w:sz w:val="24"/>
                <w:lang w:bidi="ar"/>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p>
        </w:tc>
      </w:tr>
      <w:tr w:rsidR="009F503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olor w:val="000000" w:themeColor="text1"/>
                <w:sz w:val="20"/>
                <w:szCs w:val="20"/>
              </w:rPr>
            </w:pPr>
            <w:r>
              <w:rPr>
                <w:rFonts w:ascii="宋体" w:hAnsi="宋体" w:hint="eastAsia"/>
                <w:color w:val="000000" w:themeColor="text1"/>
                <w:sz w:val="20"/>
                <w:szCs w:val="20"/>
              </w:rPr>
              <w:t>完成工作任务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良好</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olor w:val="000000" w:themeColor="text1"/>
                <w:sz w:val="20"/>
                <w:szCs w:val="20"/>
              </w:rPr>
            </w:pPr>
            <w:r>
              <w:rPr>
                <w:rFonts w:ascii="宋体" w:hAnsi="宋体" w:hint="eastAsia"/>
                <w:color w:val="000000" w:themeColor="text1"/>
                <w:sz w:val="20"/>
                <w:szCs w:val="20"/>
              </w:rPr>
              <w:t>按时完成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2</w:t>
            </w:r>
            <w:r>
              <w:rPr>
                <w:rFonts w:ascii="宋体" w:hAnsi="宋体" w:cs="宋体"/>
                <w:color w:val="000000" w:themeColor="text1"/>
                <w:kern w:val="0"/>
                <w:sz w:val="24"/>
                <w:lang w:bidi="ar"/>
              </w:rPr>
              <w:t>018</w:t>
            </w:r>
            <w:r>
              <w:rPr>
                <w:rFonts w:ascii="宋体" w:hAnsi="宋体" w:cs="宋体" w:hint="eastAsia"/>
                <w:color w:val="000000" w:themeColor="text1"/>
                <w:kern w:val="0"/>
                <w:sz w:val="24"/>
                <w:lang w:bidi="ar"/>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按时完成</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olor w:val="000000" w:themeColor="text1"/>
                <w:sz w:val="20"/>
                <w:szCs w:val="20"/>
              </w:rPr>
            </w:pPr>
            <w:r>
              <w:rPr>
                <w:rFonts w:ascii="宋体" w:hAnsi="宋体" w:hint="eastAsia"/>
                <w:color w:val="000000" w:themeColor="text1"/>
                <w:sz w:val="20"/>
                <w:szCs w:val="20"/>
              </w:rPr>
              <w:t>国家基本药物制度经费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30</w:t>
            </w:r>
            <w:r>
              <w:rPr>
                <w:rFonts w:ascii="宋体" w:hAnsi="宋体" w:cs="宋体" w:hint="eastAsia"/>
                <w:color w:val="000000" w:themeColor="text1"/>
                <w:kern w:val="0"/>
                <w:sz w:val="24"/>
                <w:lang w:bidi="ar"/>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30</w:t>
            </w:r>
            <w:r>
              <w:rPr>
                <w:rFonts w:ascii="宋体" w:hAnsi="宋体" w:cs="宋体" w:hint="eastAsia"/>
                <w:color w:val="000000" w:themeColor="text1"/>
                <w:kern w:val="0"/>
                <w:sz w:val="24"/>
                <w:lang w:bidi="ar"/>
              </w:rPr>
              <w:t>万元</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olor w:val="000000" w:themeColor="text1"/>
                <w:sz w:val="20"/>
                <w:szCs w:val="20"/>
              </w:rPr>
            </w:pPr>
            <w:r>
              <w:rPr>
                <w:rFonts w:ascii="宋体" w:hAnsi="宋体" w:hint="eastAsia"/>
                <w:color w:val="000000" w:themeColor="text1"/>
                <w:sz w:val="20"/>
                <w:szCs w:val="20"/>
              </w:rPr>
              <w:t>提升群众满意度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加强公众知晓率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9</w:t>
            </w:r>
            <w:r>
              <w:rPr>
                <w:rFonts w:ascii="宋体" w:hAnsi="宋体" w:cs="宋体"/>
                <w:color w:val="000000" w:themeColor="text1"/>
                <w:kern w:val="0"/>
                <w:sz w:val="24"/>
                <w:lang w:bidi="ar"/>
              </w:rPr>
              <w:t>0%</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olor w:val="000000" w:themeColor="text1"/>
                <w:sz w:val="20"/>
                <w:szCs w:val="20"/>
              </w:rPr>
            </w:pPr>
            <w:r>
              <w:rPr>
                <w:rFonts w:ascii="宋体" w:hAnsi="宋体" w:hint="eastAsia"/>
                <w:color w:val="000000" w:themeColor="text1"/>
                <w:sz w:val="20"/>
                <w:szCs w:val="20"/>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95</w:t>
            </w:r>
            <w:r>
              <w:rPr>
                <w:rFonts w:ascii="宋体" w:hAnsi="宋体" w:cs="宋体"/>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95</w:t>
            </w:r>
            <w:r>
              <w:rPr>
                <w:rFonts w:ascii="宋体" w:hAnsi="宋体" w:cs="宋体"/>
                <w:color w:val="000000" w:themeColor="text1"/>
                <w:kern w:val="0"/>
                <w:sz w:val="24"/>
                <w:lang w:bidi="ar"/>
              </w:rPr>
              <w:t>%</w:t>
            </w:r>
          </w:p>
        </w:tc>
      </w:tr>
    </w:tbl>
    <w:p w:rsidR="009F5036" w:rsidRDefault="009F5036">
      <w:pPr>
        <w:rPr>
          <w:color w:val="000000" w:themeColor="text1"/>
        </w:rPr>
      </w:pPr>
    </w:p>
    <w:p w:rsidR="009F5036" w:rsidRDefault="00514D84">
      <w:pPr>
        <w:tabs>
          <w:tab w:val="left" w:pos="312"/>
        </w:tabs>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基本公共卫生服务经费</w:t>
      </w:r>
    </w:p>
    <w:p w:rsidR="009F5036" w:rsidRDefault="00514D84">
      <w:pPr>
        <w:tabs>
          <w:tab w:val="left" w:pos="312"/>
        </w:tabs>
        <w:spacing w:line="58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项目全年预算数</w:t>
      </w:r>
      <w:r>
        <w:rPr>
          <w:rFonts w:ascii="仿宋_GB2312" w:eastAsia="仿宋_GB2312" w:hAnsi="仿宋_GB2312" w:cs="仿宋_GB2312" w:hint="eastAsia"/>
          <w:color w:val="000000" w:themeColor="text1"/>
          <w:sz w:val="32"/>
          <w:szCs w:val="32"/>
        </w:rPr>
        <w:t>49.368</w:t>
      </w:r>
      <w:r>
        <w:rPr>
          <w:rFonts w:ascii="仿宋_GB2312" w:eastAsia="仿宋_GB2312" w:hAnsi="仿宋_GB2312" w:cs="仿宋_GB2312" w:hint="eastAsia"/>
          <w:color w:val="000000" w:themeColor="text1"/>
          <w:sz w:val="32"/>
          <w:szCs w:val="32"/>
        </w:rPr>
        <w:t>万元，执行数为</w:t>
      </w:r>
      <w:r>
        <w:rPr>
          <w:rFonts w:ascii="仿宋_GB2312" w:eastAsia="仿宋_GB2312" w:hAnsi="仿宋_GB2312" w:cs="仿宋_GB2312" w:hint="eastAsia"/>
          <w:color w:val="000000" w:themeColor="text1"/>
          <w:sz w:val="32"/>
          <w:szCs w:val="32"/>
        </w:rPr>
        <w:t>49.368</w:t>
      </w:r>
      <w:r>
        <w:rPr>
          <w:rFonts w:ascii="仿宋_GB2312" w:eastAsia="仿宋_GB2312" w:hAnsi="仿宋_GB2312" w:cs="仿宋_GB2312" w:hint="eastAsia"/>
          <w:color w:val="000000" w:themeColor="text1"/>
          <w:sz w:val="32"/>
          <w:szCs w:val="32"/>
        </w:rPr>
        <w:t>万元，完成预算的</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。通过项目实施，</w:t>
      </w:r>
      <w:r>
        <w:rPr>
          <w:rFonts w:ascii="仿宋_GB2312" w:eastAsia="仿宋_GB2312" w:hint="eastAsia"/>
          <w:color w:val="000000" w:themeColor="text1"/>
          <w:sz w:val="32"/>
          <w:szCs w:val="32"/>
        </w:rPr>
        <w:t>从组织管理、资金管理、项目执行、绩效考核和实施成效等方面抓好工作落实，全面推进基本公共卫生服务均等化。</w:t>
      </w: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9F5036">
        <w:trPr>
          <w:trHeight w:val="1034"/>
        </w:trPr>
        <w:tc>
          <w:tcPr>
            <w:tcW w:w="9960" w:type="dxa"/>
            <w:gridSpan w:val="6"/>
            <w:tcMar>
              <w:top w:w="15" w:type="dxa"/>
              <w:left w:w="15" w:type="dxa"/>
              <w:bottom w:w="0" w:type="dxa"/>
              <w:right w:w="15" w:type="dxa"/>
            </w:tcMar>
            <w:vAlign w:val="center"/>
          </w:tcPr>
          <w:p w:rsidR="009F5036" w:rsidRDefault="00514D84">
            <w:pPr>
              <w:pStyle w:val="a9"/>
              <w:widowControl/>
              <w:spacing w:before="93"/>
              <w:ind w:leftChars="1310" w:left="4173" w:hangingChars="395" w:hanging="1422"/>
              <w:textAlignment w:val="center"/>
              <w:rPr>
                <w:rFonts w:ascii="宋体" w:hAnsi="宋体" w:cs="宋体"/>
                <w:color w:val="000000" w:themeColor="text1"/>
                <w:sz w:val="36"/>
                <w:szCs w:val="36"/>
              </w:rPr>
            </w:pPr>
            <w:r>
              <w:rPr>
                <w:rFonts w:ascii="黑体" w:eastAsia="黑体" w:hAnsi="黑体" w:cs="宋体" w:hint="eastAsia"/>
                <w:bCs/>
                <w:color w:val="000000" w:themeColor="text1"/>
                <w:kern w:val="0"/>
                <w:sz w:val="36"/>
                <w:szCs w:val="36"/>
                <w:lang w:bidi="ar"/>
              </w:rPr>
              <w:lastRenderedPageBreak/>
              <w:t>项目支出绩效目标完成情况表</w:t>
            </w:r>
            <w:r>
              <w:rPr>
                <w:rFonts w:ascii="宋体" w:hAnsi="宋体" w:cs="宋体" w:hint="eastAsia"/>
                <w:b/>
                <w:bCs/>
                <w:color w:val="000000" w:themeColor="text1"/>
                <w:kern w:val="0"/>
                <w:sz w:val="36"/>
                <w:szCs w:val="36"/>
                <w:lang w:bidi="ar"/>
              </w:rPr>
              <w:br/>
            </w:r>
            <w:r>
              <w:rPr>
                <w:rFonts w:ascii="宋体" w:hAnsi="宋体" w:cs="宋体" w:hint="eastAsia"/>
                <w:color w:val="000000" w:themeColor="text1"/>
                <w:kern w:val="0"/>
                <w:sz w:val="36"/>
                <w:szCs w:val="36"/>
                <w:lang w:bidi="ar"/>
              </w:rPr>
              <w:t xml:space="preserve">(2018 </w:t>
            </w:r>
            <w:r>
              <w:rPr>
                <w:rFonts w:ascii="宋体" w:hAnsi="宋体" w:cs="宋体" w:hint="eastAsia"/>
                <w:color w:val="000000" w:themeColor="text1"/>
                <w:kern w:val="0"/>
                <w:sz w:val="36"/>
                <w:szCs w:val="36"/>
                <w:lang w:bidi="ar"/>
              </w:rPr>
              <w:t>年度</w:t>
            </w:r>
            <w:r>
              <w:rPr>
                <w:rFonts w:ascii="宋体" w:hAnsi="宋体" w:cs="宋体" w:hint="eastAsia"/>
                <w:color w:val="000000" w:themeColor="text1"/>
                <w:kern w:val="0"/>
                <w:sz w:val="36"/>
                <w:szCs w:val="36"/>
                <w:lang w:bidi="ar"/>
              </w:rPr>
              <w:t>)</w:t>
            </w:r>
          </w:p>
        </w:tc>
      </w:tr>
      <w:tr w:rsidR="009F5036">
        <w:trPr>
          <w:trHeight w:val="63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tabs>
                <w:tab w:val="left" w:pos="312"/>
              </w:tabs>
              <w:spacing w:line="580" w:lineRule="exact"/>
              <w:ind w:firstLineChars="800" w:firstLine="1920"/>
              <w:rPr>
                <w:rFonts w:ascii="宋体" w:hAnsi="宋体" w:cs="宋体"/>
                <w:color w:val="000000" w:themeColor="text1"/>
                <w:kern w:val="0"/>
                <w:sz w:val="24"/>
                <w:lang w:bidi="ar"/>
              </w:rPr>
            </w:pPr>
            <w:r>
              <w:rPr>
                <w:rFonts w:ascii="宋体" w:hAnsi="宋体" w:cs="宋体" w:hint="eastAsia"/>
                <w:color w:val="000000" w:themeColor="text1"/>
                <w:kern w:val="0"/>
                <w:sz w:val="24"/>
                <w:lang w:bidi="ar"/>
              </w:rPr>
              <w:t>基本公共卫生服务经费</w:t>
            </w:r>
          </w:p>
        </w:tc>
      </w:tr>
      <w:tr w:rsidR="009F503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西区</w:t>
            </w:r>
            <w:r>
              <w:rPr>
                <w:rFonts w:ascii="宋体" w:hAnsi="宋体" w:cs="宋体" w:hint="eastAsia"/>
                <w:color w:val="000000" w:themeColor="text1"/>
                <w:kern w:val="0"/>
                <w:sz w:val="24"/>
                <w:lang w:bidi="ar"/>
              </w:rPr>
              <w:t>公共卫生管理中心</w:t>
            </w:r>
          </w:p>
        </w:tc>
      </w:tr>
      <w:tr w:rsidR="009F5036">
        <w:trPr>
          <w:trHeight w:val="55"/>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预算执行情况</w:t>
            </w: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万元</w:t>
            </w:r>
            <w:r>
              <w:rPr>
                <w:rFonts w:ascii="宋体" w:hAnsi="宋体" w:cs="宋体" w:hint="eastAsia"/>
                <w:color w:val="000000" w:themeColor="text1"/>
                <w:kern w:val="0"/>
                <w:sz w:val="18"/>
                <w:szCs w:val="18"/>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预算数</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49.368</w:t>
            </w:r>
            <w:r>
              <w:rPr>
                <w:rFonts w:ascii="宋体" w:hAnsi="宋体" w:cs="宋体" w:hint="eastAsia"/>
                <w:color w:val="000000" w:themeColor="text1"/>
                <w:kern w:val="0"/>
                <w:sz w:val="24"/>
                <w:lang w:bidi="ar"/>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执行数</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49.368</w:t>
            </w:r>
            <w:r>
              <w:rPr>
                <w:rFonts w:ascii="宋体" w:hAnsi="宋体" w:cs="宋体" w:hint="eastAsia"/>
                <w:color w:val="000000" w:themeColor="text1"/>
                <w:kern w:val="0"/>
                <w:sz w:val="24"/>
                <w:lang w:bidi="ar"/>
              </w:rPr>
              <w:t>万元</w:t>
            </w:r>
          </w:p>
        </w:tc>
      </w:tr>
      <w:tr w:rsidR="009F5036">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其中</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财政拨款</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49.368</w:t>
            </w:r>
            <w:r>
              <w:rPr>
                <w:rFonts w:ascii="宋体" w:hAnsi="宋体" w:cs="宋体" w:hint="eastAsia"/>
                <w:color w:val="000000" w:themeColor="text1"/>
                <w:kern w:val="0"/>
                <w:sz w:val="24"/>
                <w:lang w:bidi="ar"/>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其中</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财政拨款</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49.36</w:t>
            </w:r>
            <w:r>
              <w:rPr>
                <w:rFonts w:ascii="宋体" w:hAnsi="宋体" w:cs="宋体" w:hint="eastAsia"/>
                <w:color w:val="000000" w:themeColor="text1"/>
                <w:kern w:val="0"/>
                <w:sz w:val="24"/>
                <w:lang w:bidi="ar"/>
              </w:rPr>
              <w:t>8</w:t>
            </w:r>
            <w:r>
              <w:rPr>
                <w:rFonts w:ascii="宋体" w:hAnsi="宋体" w:cs="宋体" w:hint="eastAsia"/>
                <w:color w:val="000000" w:themeColor="text1"/>
                <w:kern w:val="0"/>
                <w:sz w:val="24"/>
                <w:lang w:bidi="ar"/>
              </w:rPr>
              <w:t>万元</w:t>
            </w:r>
          </w:p>
        </w:tc>
      </w:tr>
      <w:tr w:rsidR="009F5036">
        <w:trPr>
          <w:trHeight w:val="11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其它资金</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其它资金</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无</w:t>
            </w:r>
          </w:p>
        </w:tc>
      </w:tr>
      <w:tr w:rsidR="009F503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实际完成目标</w:t>
            </w:r>
          </w:p>
        </w:tc>
      </w:tr>
      <w:tr w:rsidR="009F5036">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p>
        </w:tc>
      </w:tr>
      <w:tr w:rsidR="009F5036">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预期指标值</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包含数字及文字描述</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实际完成指标值</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包含数字及文字描述</w:t>
            </w:r>
            <w:r>
              <w:rPr>
                <w:rFonts w:ascii="宋体" w:hAnsi="宋体" w:cs="宋体" w:hint="eastAsia"/>
                <w:color w:val="000000" w:themeColor="text1"/>
                <w:kern w:val="0"/>
                <w:sz w:val="24"/>
                <w:lang w:bidi="ar"/>
              </w:rPr>
              <w:t>)</w:t>
            </w:r>
          </w:p>
        </w:tc>
      </w:tr>
      <w:tr w:rsidR="009F5036">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hint="eastAsia"/>
                <w:color w:val="000000" w:themeColor="text1"/>
                <w:sz w:val="20"/>
                <w:szCs w:val="20"/>
              </w:rPr>
              <w:t>基本公共卫生服务经费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jc w:val="center"/>
              <w:rPr>
                <w:rFonts w:ascii="宋体" w:hAnsi="宋体" w:cs="宋体"/>
                <w:color w:val="000000" w:themeColor="text1"/>
                <w:sz w:val="24"/>
              </w:rPr>
            </w:pPr>
            <w:r>
              <w:rPr>
                <w:rFonts w:hint="eastAsia"/>
                <w:color w:val="000000" w:themeColor="text1"/>
              </w:rPr>
              <w:t>100</w:t>
            </w:r>
            <w:r>
              <w:rPr>
                <w:rFonts w:hint="eastAsia"/>
                <w:color w:val="000000" w:themeColor="text1"/>
              </w:rPr>
              <w:t>%</w:t>
            </w:r>
          </w:p>
          <w:p w:rsidR="009F5036" w:rsidRDefault="009F5036">
            <w:pPr>
              <w:widowControl/>
              <w:jc w:val="center"/>
              <w:textAlignment w:val="center"/>
              <w:rPr>
                <w:rFonts w:ascii="宋体" w:hAnsi="宋体" w:cs="宋体"/>
                <w:color w:val="000000" w:themeColor="text1"/>
                <w:kern w:val="0"/>
                <w:sz w:val="24"/>
                <w:lang w:bidi="ar"/>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p>
        </w:tc>
      </w:tr>
      <w:tr w:rsidR="009F503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hint="eastAsia"/>
                <w:color w:val="000000" w:themeColor="text1"/>
                <w:sz w:val="20"/>
                <w:szCs w:val="20"/>
              </w:rPr>
              <w:t>完成工任务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良好</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jc w:val="center"/>
              <w:rPr>
                <w:rFonts w:ascii="宋体" w:hAnsi="宋体"/>
                <w:color w:val="000000" w:themeColor="text1"/>
                <w:sz w:val="18"/>
                <w:szCs w:val="18"/>
              </w:rPr>
            </w:pPr>
            <w:r>
              <w:rPr>
                <w:rFonts w:ascii="宋体" w:hAnsi="宋体" w:hint="eastAsia"/>
                <w:color w:val="000000" w:themeColor="text1"/>
                <w:sz w:val="20"/>
                <w:szCs w:val="20"/>
              </w:rPr>
              <w:t>按工作计划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jc w:val="center"/>
              <w:rPr>
                <w:rFonts w:ascii="宋体" w:hAnsi="宋体"/>
                <w:color w:val="000000" w:themeColor="text1"/>
                <w:sz w:val="18"/>
                <w:szCs w:val="18"/>
              </w:rPr>
            </w:pPr>
            <w:r>
              <w:rPr>
                <w:rFonts w:ascii="宋体" w:hAnsi="宋体" w:hint="eastAsia"/>
                <w:color w:val="000000" w:themeColor="text1"/>
                <w:sz w:val="18"/>
                <w:szCs w:val="18"/>
              </w:rPr>
              <w:t>2019</w:t>
            </w:r>
            <w:r>
              <w:rPr>
                <w:rFonts w:ascii="宋体" w:hAnsi="宋体" w:hint="eastAsia"/>
                <w:color w:val="000000" w:themeColor="text1"/>
                <w:sz w:val="18"/>
                <w:szCs w:val="18"/>
              </w:rPr>
              <w:t>年</w:t>
            </w:r>
            <w:r>
              <w:rPr>
                <w:rFonts w:ascii="宋体" w:hAnsi="宋体" w:hint="eastAsia"/>
                <w:color w:val="000000" w:themeColor="text1"/>
                <w:sz w:val="18"/>
                <w:szCs w:val="18"/>
              </w:rPr>
              <w:t>3</w:t>
            </w:r>
            <w:r>
              <w:rPr>
                <w:rFonts w:ascii="宋体" w:hAnsi="宋体" w:hint="eastAsia"/>
                <w:color w:val="000000" w:themeColor="text1"/>
                <w:sz w:val="18"/>
                <w:szCs w:val="18"/>
              </w:rPr>
              <w:t>月底前，拨付</w:t>
            </w:r>
            <w:r>
              <w:rPr>
                <w:rFonts w:ascii="宋体" w:hAnsi="宋体" w:hint="eastAsia"/>
                <w:color w:val="000000" w:themeColor="text1"/>
                <w:sz w:val="18"/>
                <w:szCs w:val="18"/>
              </w:rPr>
              <w:t>30%</w:t>
            </w:r>
          </w:p>
          <w:p w:rsidR="009F5036" w:rsidRDefault="00514D84">
            <w:pPr>
              <w:jc w:val="center"/>
              <w:rPr>
                <w:rFonts w:ascii="宋体" w:hAnsi="宋体"/>
                <w:color w:val="000000" w:themeColor="text1"/>
                <w:sz w:val="18"/>
                <w:szCs w:val="18"/>
              </w:rPr>
            </w:pPr>
            <w:r>
              <w:rPr>
                <w:rFonts w:ascii="宋体" w:hAnsi="宋体" w:hint="eastAsia"/>
                <w:color w:val="000000" w:themeColor="text1"/>
                <w:sz w:val="18"/>
                <w:szCs w:val="18"/>
              </w:rPr>
              <w:t>2019</w:t>
            </w:r>
            <w:r>
              <w:rPr>
                <w:rFonts w:ascii="宋体" w:hAnsi="宋体" w:hint="eastAsia"/>
                <w:color w:val="000000" w:themeColor="text1"/>
                <w:sz w:val="18"/>
                <w:szCs w:val="18"/>
              </w:rPr>
              <w:t>年</w:t>
            </w:r>
            <w:r>
              <w:rPr>
                <w:rFonts w:ascii="宋体" w:hAnsi="宋体" w:hint="eastAsia"/>
                <w:color w:val="000000" w:themeColor="text1"/>
                <w:sz w:val="18"/>
                <w:szCs w:val="18"/>
              </w:rPr>
              <w:t>6</w:t>
            </w:r>
            <w:r>
              <w:rPr>
                <w:rFonts w:ascii="宋体" w:hAnsi="宋体" w:hint="eastAsia"/>
                <w:color w:val="000000" w:themeColor="text1"/>
                <w:sz w:val="18"/>
                <w:szCs w:val="18"/>
              </w:rPr>
              <w:t>月底前，拨付</w:t>
            </w:r>
            <w:r>
              <w:rPr>
                <w:rFonts w:ascii="宋体" w:hAnsi="宋体" w:hint="eastAsia"/>
                <w:color w:val="000000" w:themeColor="text1"/>
                <w:sz w:val="18"/>
                <w:szCs w:val="18"/>
              </w:rPr>
              <w:t>50%</w:t>
            </w:r>
          </w:p>
          <w:p w:rsidR="009F5036" w:rsidRDefault="00514D84">
            <w:pPr>
              <w:jc w:val="center"/>
              <w:rPr>
                <w:rFonts w:ascii="宋体" w:hAnsi="宋体"/>
                <w:color w:val="000000" w:themeColor="text1"/>
                <w:sz w:val="18"/>
                <w:szCs w:val="18"/>
              </w:rPr>
            </w:pPr>
            <w:r>
              <w:rPr>
                <w:rFonts w:ascii="宋体" w:hAnsi="宋体" w:hint="eastAsia"/>
                <w:color w:val="000000" w:themeColor="text1"/>
                <w:sz w:val="18"/>
                <w:szCs w:val="18"/>
              </w:rPr>
              <w:t>2019</w:t>
            </w:r>
            <w:r>
              <w:rPr>
                <w:rFonts w:ascii="宋体" w:hAnsi="宋体" w:hint="eastAsia"/>
                <w:color w:val="000000" w:themeColor="text1"/>
                <w:sz w:val="18"/>
                <w:szCs w:val="18"/>
              </w:rPr>
              <w:t>年</w:t>
            </w:r>
            <w:r>
              <w:rPr>
                <w:rFonts w:ascii="宋体" w:hAnsi="宋体" w:hint="eastAsia"/>
                <w:color w:val="000000" w:themeColor="text1"/>
                <w:sz w:val="18"/>
                <w:szCs w:val="18"/>
              </w:rPr>
              <w:t>11</w:t>
            </w:r>
            <w:r>
              <w:rPr>
                <w:rFonts w:ascii="宋体" w:hAnsi="宋体" w:hint="eastAsia"/>
                <w:color w:val="000000" w:themeColor="text1"/>
                <w:sz w:val="18"/>
                <w:szCs w:val="18"/>
              </w:rPr>
              <w:t>月底前，拨付</w:t>
            </w:r>
            <w:r>
              <w:rPr>
                <w:rFonts w:ascii="宋体" w:hAnsi="宋体" w:hint="eastAsia"/>
                <w:color w:val="000000" w:themeColor="text1"/>
                <w:sz w:val="18"/>
                <w:szCs w:val="18"/>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按时完成</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基本公共卫生服务经费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49.368</w:t>
            </w:r>
            <w:r>
              <w:rPr>
                <w:rFonts w:ascii="宋体" w:hAnsi="宋体" w:cs="宋体" w:hint="eastAsia"/>
                <w:color w:val="000000" w:themeColor="text1"/>
                <w:kern w:val="0"/>
                <w:sz w:val="24"/>
                <w:lang w:bidi="ar"/>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49.368</w:t>
            </w:r>
            <w:r>
              <w:rPr>
                <w:rFonts w:ascii="宋体" w:hAnsi="宋体" w:cs="宋体" w:hint="eastAsia"/>
                <w:color w:val="000000" w:themeColor="text1"/>
                <w:kern w:val="0"/>
                <w:sz w:val="24"/>
                <w:lang w:bidi="ar"/>
              </w:rPr>
              <w:t>万元</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jc w:val="center"/>
              <w:rPr>
                <w:rFonts w:ascii="宋体" w:hAnsi="宋体" w:cs="宋体"/>
                <w:color w:val="000000" w:themeColor="text1"/>
                <w:sz w:val="18"/>
                <w:szCs w:val="18"/>
              </w:rPr>
            </w:pPr>
            <w:r>
              <w:rPr>
                <w:rFonts w:ascii="宋体" w:hAnsi="宋体" w:hint="eastAsia"/>
                <w:color w:val="000000" w:themeColor="text1"/>
                <w:sz w:val="18"/>
                <w:szCs w:val="18"/>
              </w:rPr>
              <w:t>提升群众满意度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加强公众知晓率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9</w:t>
            </w:r>
            <w:r>
              <w:rPr>
                <w:rFonts w:ascii="宋体" w:hAnsi="宋体" w:cs="宋体"/>
                <w:color w:val="000000" w:themeColor="text1"/>
                <w:kern w:val="0"/>
                <w:sz w:val="24"/>
                <w:lang w:bidi="ar"/>
              </w:rPr>
              <w:t>0%</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4"/>
                <w:lang w:bidi="ar"/>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95</w:t>
            </w:r>
            <w:r>
              <w:rPr>
                <w:rFonts w:ascii="宋体" w:hAnsi="宋体" w:cs="宋体"/>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95</w:t>
            </w:r>
            <w:r>
              <w:rPr>
                <w:rFonts w:ascii="宋体" w:hAnsi="宋体" w:cs="宋体"/>
                <w:color w:val="000000" w:themeColor="text1"/>
                <w:kern w:val="0"/>
                <w:sz w:val="24"/>
                <w:lang w:bidi="ar"/>
              </w:rPr>
              <w:t>%</w:t>
            </w:r>
          </w:p>
        </w:tc>
      </w:tr>
    </w:tbl>
    <w:p w:rsidR="009F5036" w:rsidRDefault="009F5036">
      <w:pPr>
        <w:rPr>
          <w:color w:val="000000" w:themeColor="text1"/>
        </w:rPr>
      </w:pPr>
    </w:p>
    <w:p w:rsidR="009F5036" w:rsidRDefault="00514D84">
      <w:pPr>
        <w:tabs>
          <w:tab w:val="left" w:pos="312"/>
        </w:tabs>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lastRenderedPageBreak/>
        <w:t>3.</w:t>
      </w:r>
      <w:r>
        <w:rPr>
          <w:rFonts w:ascii="仿宋_GB2312" w:eastAsia="仿宋_GB2312" w:hint="eastAsia"/>
          <w:color w:val="000000" w:themeColor="text1"/>
          <w:sz w:val="32"/>
          <w:szCs w:val="32"/>
        </w:rPr>
        <w:t>中医药适宜技术推广经费</w:t>
      </w:r>
    </w:p>
    <w:p w:rsidR="009F5036" w:rsidRDefault="00514D84">
      <w:pPr>
        <w:tabs>
          <w:tab w:val="left" w:pos="312"/>
        </w:tabs>
        <w:spacing w:line="58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项目全年预算数</w:t>
      </w:r>
      <w:r>
        <w:rPr>
          <w:rFonts w:ascii="仿宋_GB2312" w:eastAsia="仿宋_GB2312" w:hAnsi="仿宋_GB2312" w:cs="仿宋_GB2312" w:hint="eastAsia"/>
          <w:color w:val="000000" w:themeColor="text1"/>
          <w:sz w:val="32"/>
          <w:szCs w:val="32"/>
        </w:rPr>
        <w:t>0.5</w:t>
      </w:r>
      <w:r>
        <w:rPr>
          <w:rFonts w:ascii="仿宋_GB2312" w:eastAsia="仿宋_GB2312" w:hAnsi="仿宋_GB2312" w:cs="仿宋_GB2312" w:hint="eastAsia"/>
          <w:color w:val="000000" w:themeColor="text1"/>
          <w:sz w:val="32"/>
          <w:szCs w:val="32"/>
        </w:rPr>
        <w:t>万元，执行数为</w:t>
      </w:r>
      <w:r>
        <w:rPr>
          <w:rFonts w:ascii="仿宋_GB2312" w:eastAsia="仿宋_GB2312" w:hAnsi="仿宋_GB2312" w:cs="仿宋_GB2312" w:hint="eastAsia"/>
          <w:color w:val="000000" w:themeColor="text1"/>
          <w:sz w:val="32"/>
          <w:szCs w:val="32"/>
        </w:rPr>
        <w:t>0.5</w:t>
      </w:r>
      <w:r>
        <w:rPr>
          <w:rFonts w:ascii="仿宋_GB2312" w:eastAsia="仿宋_GB2312" w:hAnsi="仿宋_GB2312" w:cs="仿宋_GB2312" w:hint="eastAsia"/>
          <w:color w:val="000000" w:themeColor="text1"/>
          <w:sz w:val="32"/>
          <w:szCs w:val="32"/>
        </w:rPr>
        <w:t>万元，完成预算的</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。通过项目实施，</w:t>
      </w:r>
      <w:r>
        <w:rPr>
          <w:rFonts w:ascii="仿宋_GB2312" w:eastAsia="仿宋_GB2312" w:hint="eastAsia"/>
          <w:color w:val="000000" w:themeColor="text1"/>
          <w:sz w:val="32"/>
          <w:szCs w:val="32"/>
        </w:rPr>
        <w:t>完成中医适宜技术推广项目人员培训、宣传，提升医技水平，提高知晓率</w:t>
      </w:r>
      <w:r>
        <w:rPr>
          <w:rFonts w:ascii="仿宋_GB2312" w:eastAsia="仿宋_GB2312" w:hint="eastAsia"/>
          <w:color w:val="000000" w:themeColor="text1"/>
          <w:sz w:val="32"/>
          <w:szCs w:val="32"/>
        </w:rPr>
        <w:t>。</w:t>
      </w: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9F5036">
        <w:trPr>
          <w:trHeight w:val="1034"/>
        </w:trPr>
        <w:tc>
          <w:tcPr>
            <w:tcW w:w="9960" w:type="dxa"/>
            <w:gridSpan w:val="6"/>
            <w:tcMar>
              <w:top w:w="15" w:type="dxa"/>
              <w:left w:w="15" w:type="dxa"/>
              <w:bottom w:w="0" w:type="dxa"/>
              <w:right w:w="15" w:type="dxa"/>
            </w:tcMar>
            <w:vAlign w:val="center"/>
          </w:tcPr>
          <w:p w:rsidR="009F5036" w:rsidRDefault="00514D84">
            <w:pPr>
              <w:pStyle w:val="a9"/>
              <w:widowControl/>
              <w:spacing w:before="93"/>
              <w:ind w:leftChars="1310" w:left="4173" w:hangingChars="395" w:hanging="1422"/>
              <w:textAlignment w:val="center"/>
              <w:rPr>
                <w:rFonts w:ascii="宋体" w:hAnsi="宋体" w:cs="宋体"/>
                <w:color w:val="000000" w:themeColor="text1"/>
                <w:sz w:val="36"/>
                <w:szCs w:val="36"/>
              </w:rPr>
            </w:pPr>
            <w:r>
              <w:rPr>
                <w:rFonts w:ascii="黑体" w:eastAsia="黑体" w:hAnsi="黑体" w:cs="宋体" w:hint="eastAsia"/>
                <w:bCs/>
                <w:color w:val="000000" w:themeColor="text1"/>
                <w:kern w:val="0"/>
                <w:sz w:val="36"/>
                <w:szCs w:val="36"/>
                <w:lang w:bidi="ar"/>
              </w:rPr>
              <w:t>项目支出绩效目标完成情况表</w:t>
            </w:r>
            <w:r>
              <w:rPr>
                <w:rFonts w:ascii="宋体" w:hAnsi="宋体" w:cs="宋体" w:hint="eastAsia"/>
                <w:b/>
                <w:bCs/>
                <w:color w:val="000000" w:themeColor="text1"/>
                <w:kern w:val="0"/>
                <w:sz w:val="36"/>
                <w:szCs w:val="36"/>
                <w:lang w:bidi="ar"/>
              </w:rPr>
              <w:br/>
            </w:r>
            <w:r>
              <w:rPr>
                <w:rFonts w:ascii="宋体" w:hAnsi="宋体" w:cs="宋体" w:hint="eastAsia"/>
                <w:color w:val="000000" w:themeColor="text1"/>
                <w:kern w:val="0"/>
                <w:sz w:val="36"/>
                <w:szCs w:val="36"/>
                <w:lang w:bidi="ar"/>
              </w:rPr>
              <w:t xml:space="preserve">(2018 </w:t>
            </w:r>
            <w:r>
              <w:rPr>
                <w:rFonts w:ascii="宋体" w:hAnsi="宋体" w:cs="宋体" w:hint="eastAsia"/>
                <w:color w:val="000000" w:themeColor="text1"/>
                <w:kern w:val="0"/>
                <w:sz w:val="36"/>
                <w:szCs w:val="36"/>
                <w:lang w:bidi="ar"/>
              </w:rPr>
              <w:t>年度</w:t>
            </w:r>
            <w:r>
              <w:rPr>
                <w:rFonts w:ascii="宋体" w:hAnsi="宋体" w:cs="宋体" w:hint="eastAsia"/>
                <w:color w:val="000000" w:themeColor="text1"/>
                <w:kern w:val="0"/>
                <w:sz w:val="36"/>
                <w:szCs w:val="36"/>
                <w:lang w:bidi="ar"/>
              </w:rPr>
              <w:t>)</w:t>
            </w:r>
          </w:p>
        </w:tc>
      </w:tr>
      <w:tr w:rsidR="009F5036">
        <w:trPr>
          <w:trHeight w:val="63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tabs>
                <w:tab w:val="left" w:pos="312"/>
              </w:tabs>
              <w:spacing w:line="580" w:lineRule="exact"/>
              <w:ind w:firstLineChars="800" w:firstLine="1920"/>
              <w:rPr>
                <w:rFonts w:ascii="宋体" w:hAnsi="宋体" w:cs="宋体"/>
                <w:color w:val="000000" w:themeColor="text1"/>
                <w:kern w:val="0"/>
                <w:sz w:val="24"/>
                <w:lang w:bidi="ar"/>
              </w:rPr>
            </w:pPr>
            <w:r>
              <w:rPr>
                <w:rFonts w:ascii="宋体" w:hAnsi="宋体" w:cs="宋体" w:hint="eastAsia"/>
                <w:color w:val="000000" w:themeColor="text1"/>
                <w:kern w:val="0"/>
                <w:sz w:val="24"/>
                <w:lang w:bidi="ar"/>
              </w:rPr>
              <w:t>中医适宜技术推广经费</w:t>
            </w:r>
          </w:p>
        </w:tc>
      </w:tr>
      <w:tr w:rsidR="009F503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西区</w:t>
            </w:r>
            <w:r>
              <w:rPr>
                <w:rFonts w:ascii="宋体" w:hAnsi="宋体" w:cs="宋体" w:hint="eastAsia"/>
                <w:color w:val="000000" w:themeColor="text1"/>
                <w:kern w:val="0"/>
                <w:sz w:val="24"/>
                <w:lang w:bidi="ar"/>
              </w:rPr>
              <w:t>公共卫生管理中心</w:t>
            </w:r>
          </w:p>
        </w:tc>
      </w:tr>
      <w:tr w:rsidR="009F5036">
        <w:trPr>
          <w:trHeight w:val="55"/>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预算执行情况</w:t>
            </w: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万元</w:t>
            </w:r>
            <w:r>
              <w:rPr>
                <w:rFonts w:ascii="宋体" w:hAnsi="宋体" w:cs="宋体" w:hint="eastAsia"/>
                <w:color w:val="000000" w:themeColor="text1"/>
                <w:kern w:val="0"/>
                <w:sz w:val="18"/>
                <w:szCs w:val="18"/>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预算数</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0.5</w:t>
            </w:r>
            <w:r>
              <w:rPr>
                <w:rFonts w:ascii="宋体" w:hAnsi="宋体" w:cs="宋体" w:hint="eastAsia"/>
                <w:color w:val="000000" w:themeColor="text1"/>
                <w:kern w:val="0"/>
                <w:sz w:val="24"/>
                <w:lang w:bidi="ar"/>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执行数</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0.5</w:t>
            </w:r>
            <w:r>
              <w:rPr>
                <w:rFonts w:ascii="宋体" w:hAnsi="宋体" w:cs="宋体" w:hint="eastAsia"/>
                <w:color w:val="000000" w:themeColor="text1"/>
                <w:kern w:val="0"/>
                <w:sz w:val="24"/>
                <w:lang w:bidi="ar"/>
              </w:rPr>
              <w:t>万元</w:t>
            </w:r>
          </w:p>
        </w:tc>
      </w:tr>
      <w:tr w:rsidR="009F5036">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其中</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财政拨款</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0.5</w:t>
            </w:r>
            <w:r>
              <w:rPr>
                <w:rFonts w:ascii="宋体" w:hAnsi="宋体" w:cs="宋体" w:hint="eastAsia"/>
                <w:color w:val="000000" w:themeColor="text1"/>
                <w:kern w:val="0"/>
                <w:sz w:val="24"/>
                <w:lang w:bidi="ar"/>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其中</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财政拨款</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0.5</w:t>
            </w:r>
            <w:r>
              <w:rPr>
                <w:rFonts w:ascii="宋体" w:hAnsi="宋体" w:cs="宋体" w:hint="eastAsia"/>
                <w:color w:val="000000" w:themeColor="text1"/>
                <w:kern w:val="0"/>
                <w:sz w:val="24"/>
                <w:lang w:bidi="ar"/>
              </w:rPr>
              <w:t>万元</w:t>
            </w:r>
          </w:p>
        </w:tc>
      </w:tr>
      <w:tr w:rsidR="009F5036">
        <w:trPr>
          <w:trHeight w:val="11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其它资金</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其它资金</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无</w:t>
            </w:r>
          </w:p>
        </w:tc>
      </w:tr>
      <w:tr w:rsidR="009F503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实际完成目标</w:t>
            </w:r>
          </w:p>
        </w:tc>
      </w:tr>
      <w:tr w:rsidR="009F5036">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p>
        </w:tc>
      </w:tr>
      <w:tr w:rsidR="009F5036">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预期指标值</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包含数字及文字描述</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实际完成指标值</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包含数字及文字描述</w:t>
            </w:r>
            <w:r>
              <w:rPr>
                <w:rFonts w:ascii="宋体" w:hAnsi="宋体" w:cs="宋体" w:hint="eastAsia"/>
                <w:color w:val="000000" w:themeColor="text1"/>
                <w:kern w:val="0"/>
                <w:sz w:val="24"/>
                <w:lang w:bidi="ar"/>
              </w:rPr>
              <w:t>)</w:t>
            </w:r>
          </w:p>
        </w:tc>
      </w:tr>
      <w:tr w:rsidR="009F5036">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hint="eastAsia"/>
                <w:color w:val="000000" w:themeColor="text1"/>
                <w:sz w:val="20"/>
                <w:szCs w:val="20"/>
              </w:rPr>
              <w:t>中医适宜技术推广项目人员培训、宣传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jc w:val="center"/>
              <w:rPr>
                <w:rFonts w:ascii="宋体" w:hAnsi="宋体" w:cs="宋体"/>
                <w:color w:val="000000" w:themeColor="text1"/>
                <w:sz w:val="24"/>
              </w:rPr>
            </w:pPr>
            <w:r>
              <w:rPr>
                <w:rFonts w:hint="eastAsia"/>
                <w:color w:val="000000" w:themeColor="text1"/>
              </w:rPr>
              <w:t>100</w:t>
            </w:r>
            <w:r>
              <w:rPr>
                <w:rFonts w:hint="eastAsia"/>
                <w:color w:val="000000" w:themeColor="text1"/>
              </w:rPr>
              <w:t>%</w:t>
            </w:r>
          </w:p>
          <w:p w:rsidR="009F5036" w:rsidRDefault="009F5036">
            <w:pPr>
              <w:widowControl/>
              <w:jc w:val="center"/>
              <w:textAlignment w:val="center"/>
              <w:rPr>
                <w:rFonts w:ascii="宋体" w:hAnsi="宋体" w:cs="宋体"/>
                <w:color w:val="000000" w:themeColor="text1"/>
                <w:kern w:val="0"/>
                <w:sz w:val="24"/>
                <w:lang w:bidi="ar"/>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p>
        </w:tc>
      </w:tr>
      <w:tr w:rsidR="009F503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hint="eastAsia"/>
                <w:color w:val="000000" w:themeColor="text1"/>
                <w:sz w:val="18"/>
                <w:szCs w:val="18"/>
              </w:rPr>
              <w:t>完成中医适宜技术推广项目人员培训、宣传工作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良好</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2</w:t>
            </w:r>
            <w:r>
              <w:rPr>
                <w:rFonts w:ascii="宋体" w:hAnsi="宋体" w:cs="宋体"/>
                <w:color w:val="000000" w:themeColor="text1"/>
                <w:kern w:val="0"/>
                <w:sz w:val="24"/>
                <w:lang w:bidi="ar"/>
              </w:rPr>
              <w:t>018</w:t>
            </w:r>
            <w:r>
              <w:rPr>
                <w:rFonts w:ascii="宋体" w:hAnsi="宋体" w:cs="宋体" w:hint="eastAsia"/>
                <w:color w:val="000000" w:themeColor="text1"/>
                <w:kern w:val="0"/>
                <w:sz w:val="24"/>
                <w:lang w:bidi="ar"/>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按时完成</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中医适宜技术推广经费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0.5</w:t>
            </w:r>
            <w:r>
              <w:rPr>
                <w:rFonts w:ascii="宋体" w:hAnsi="宋体" w:cs="宋体" w:hint="eastAsia"/>
                <w:color w:val="000000" w:themeColor="text1"/>
                <w:kern w:val="0"/>
                <w:sz w:val="24"/>
                <w:lang w:bidi="ar"/>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0.5</w:t>
            </w:r>
            <w:r>
              <w:rPr>
                <w:rFonts w:ascii="宋体" w:hAnsi="宋体" w:cs="宋体" w:hint="eastAsia"/>
                <w:color w:val="000000" w:themeColor="text1"/>
                <w:kern w:val="0"/>
                <w:sz w:val="24"/>
                <w:lang w:bidi="ar"/>
              </w:rPr>
              <w:t>万元</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jc w:val="center"/>
              <w:rPr>
                <w:rFonts w:ascii="宋体" w:hAnsi="宋体" w:cs="宋体"/>
                <w:color w:val="000000" w:themeColor="text1"/>
                <w:sz w:val="18"/>
                <w:szCs w:val="18"/>
              </w:rPr>
            </w:pPr>
            <w:r>
              <w:rPr>
                <w:rFonts w:ascii="宋体" w:hAnsi="宋体" w:cs="宋体" w:hint="eastAsia"/>
                <w:color w:val="000000" w:themeColor="text1"/>
                <w:kern w:val="0"/>
                <w:sz w:val="24"/>
                <w:lang w:bidi="ar"/>
              </w:rPr>
              <w:t>提升群众满意度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加强公众知晓率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9</w:t>
            </w:r>
            <w:r>
              <w:rPr>
                <w:rFonts w:ascii="宋体" w:hAnsi="宋体" w:cs="宋体"/>
                <w:color w:val="000000" w:themeColor="text1"/>
                <w:kern w:val="0"/>
                <w:sz w:val="24"/>
                <w:lang w:bidi="ar"/>
              </w:rPr>
              <w:t>0%</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4"/>
                <w:lang w:bidi="ar"/>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95</w:t>
            </w:r>
            <w:r>
              <w:rPr>
                <w:rFonts w:ascii="宋体" w:hAnsi="宋体" w:cs="宋体"/>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95</w:t>
            </w:r>
            <w:r>
              <w:rPr>
                <w:rFonts w:ascii="宋体" w:hAnsi="宋体" w:cs="宋体"/>
                <w:color w:val="000000" w:themeColor="text1"/>
                <w:kern w:val="0"/>
                <w:sz w:val="24"/>
                <w:lang w:bidi="ar"/>
              </w:rPr>
              <w:t>%</w:t>
            </w:r>
          </w:p>
        </w:tc>
      </w:tr>
    </w:tbl>
    <w:p w:rsidR="009F5036" w:rsidRDefault="009F5036">
      <w:pPr>
        <w:rPr>
          <w:color w:val="000000" w:themeColor="text1"/>
        </w:rPr>
      </w:pPr>
    </w:p>
    <w:p w:rsidR="009F5036" w:rsidRDefault="00514D84">
      <w:pPr>
        <w:tabs>
          <w:tab w:val="left" w:pos="312"/>
        </w:tabs>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家庭医生签约服务补助经费</w:t>
      </w:r>
    </w:p>
    <w:p w:rsidR="009F5036" w:rsidRDefault="00514D84">
      <w:pPr>
        <w:tabs>
          <w:tab w:val="left" w:pos="312"/>
        </w:tabs>
        <w:spacing w:line="58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项目全年预算数</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万元，执行数为</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万元，完成预算的</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。通过项目实施，</w:t>
      </w:r>
      <w:r>
        <w:rPr>
          <w:rFonts w:ascii="仿宋_GB2312" w:eastAsia="仿宋_GB2312" w:hint="eastAsia"/>
          <w:color w:val="000000" w:themeColor="text1"/>
          <w:sz w:val="32"/>
          <w:szCs w:val="32"/>
        </w:rPr>
        <w:t>完成家庭医生签约服务任务指标，基本实现家庭医生签约服务制度的全覆盖</w:t>
      </w:r>
      <w:r>
        <w:rPr>
          <w:rFonts w:ascii="仿宋_GB2312" w:eastAsia="仿宋_GB2312" w:hint="eastAsia"/>
          <w:color w:val="000000" w:themeColor="text1"/>
          <w:sz w:val="32"/>
          <w:szCs w:val="32"/>
        </w:rPr>
        <w:t>。</w:t>
      </w: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9F5036">
        <w:trPr>
          <w:trHeight w:val="1034"/>
        </w:trPr>
        <w:tc>
          <w:tcPr>
            <w:tcW w:w="9960" w:type="dxa"/>
            <w:gridSpan w:val="6"/>
            <w:tcMar>
              <w:top w:w="15" w:type="dxa"/>
              <w:left w:w="15" w:type="dxa"/>
              <w:bottom w:w="0" w:type="dxa"/>
              <w:right w:w="15" w:type="dxa"/>
            </w:tcMar>
            <w:vAlign w:val="center"/>
          </w:tcPr>
          <w:p w:rsidR="009F5036" w:rsidRDefault="00514D84">
            <w:pPr>
              <w:pStyle w:val="a9"/>
              <w:widowControl/>
              <w:spacing w:before="93"/>
              <w:ind w:leftChars="1310" w:left="4173" w:hangingChars="395" w:hanging="1422"/>
              <w:textAlignment w:val="center"/>
              <w:rPr>
                <w:rFonts w:ascii="宋体" w:hAnsi="宋体" w:cs="宋体"/>
                <w:color w:val="000000" w:themeColor="text1"/>
                <w:sz w:val="36"/>
                <w:szCs w:val="36"/>
              </w:rPr>
            </w:pPr>
            <w:r>
              <w:rPr>
                <w:rFonts w:ascii="黑体" w:eastAsia="黑体" w:hAnsi="黑体" w:cs="宋体" w:hint="eastAsia"/>
                <w:bCs/>
                <w:color w:val="000000" w:themeColor="text1"/>
                <w:kern w:val="0"/>
                <w:sz w:val="36"/>
                <w:szCs w:val="36"/>
                <w:lang w:bidi="ar"/>
              </w:rPr>
              <w:t>项目支出绩效目标完成情况表</w:t>
            </w:r>
            <w:r>
              <w:rPr>
                <w:rFonts w:ascii="宋体" w:hAnsi="宋体" w:cs="宋体" w:hint="eastAsia"/>
                <w:b/>
                <w:bCs/>
                <w:color w:val="000000" w:themeColor="text1"/>
                <w:kern w:val="0"/>
                <w:sz w:val="36"/>
                <w:szCs w:val="36"/>
                <w:lang w:bidi="ar"/>
              </w:rPr>
              <w:br/>
            </w:r>
            <w:r>
              <w:rPr>
                <w:rFonts w:ascii="宋体" w:hAnsi="宋体" w:cs="宋体" w:hint="eastAsia"/>
                <w:color w:val="000000" w:themeColor="text1"/>
                <w:kern w:val="0"/>
                <w:sz w:val="36"/>
                <w:szCs w:val="36"/>
                <w:lang w:bidi="ar"/>
              </w:rPr>
              <w:t xml:space="preserve">(2018 </w:t>
            </w:r>
            <w:r>
              <w:rPr>
                <w:rFonts w:ascii="宋体" w:hAnsi="宋体" w:cs="宋体" w:hint="eastAsia"/>
                <w:color w:val="000000" w:themeColor="text1"/>
                <w:kern w:val="0"/>
                <w:sz w:val="36"/>
                <w:szCs w:val="36"/>
                <w:lang w:bidi="ar"/>
              </w:rPr>
              <w:t>年度</w:t>
            </w:r>
            <w:r>
              <w:rPr>
                <w:rFonts w:ascii="宋体" w:hAnsi="宋体" w:cs="宋体" w:hint="eastAsia"/>
                <w:color w:val="000000" w:themeColor="text1"/>
                <w:kern w:val="0"/>
                <w:sz w:val="36"/>
                <w:szCs w:val="36"/>
                <w:lang w:bidi="ar"/>
              </w:rPr>
              <w:t>)</w:t>
            </w:r>
          </w:p>
        </w:tc>
      </w:tr>
      <w:tr w:rsidR="009F5036">
        <w:trPr>
          <w:trHeight w:val="63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tabs>
                <w:tab w:val="left" w:pos="312"/>
              </w:tabs>
              <w:spacing w:line="580" w:lineRule="exact"/>
              <w:ind w:firstLineChars="800" w:firstLine="1920"/>
              <w:rPr>
                <w:rFonts w:ascii="宋体" w:hAnsi="宋体" w:cs="宋体"/>
                <w:color w:val="000000" w:themeColor="text1"/>
                <w:kern w:val="0"/>
                <w:sz w:val="24"/>
                <w:lang w:bidi="ar"/>
              </w:rPr>
            </w:pPr>
            <w:r>
              <w:rPr>
                <w:rFonts w:ascii="宋体" w:hAnsi="宋体" w:cs="宋体" w:hint="eastAsia"/>
                <w:color w:val="000000" w:themeColor="text1"/>
                <w:kern w:val="0"/>
                <w:sz w:val="24"/>
                <w:lang w:bidi="ar"/>
              </w:rPr>
              <w:t>家庭医生签约服务补助经费</w:t>
            </w:r>
          </w:p>
        </w:tc>
      </w:tr>
      <w:tr w:rsidR="009F503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西区</w:t>
            </w:r>
            <w:r>
              <w:rPr>
                <w:rFonts w:ascii="宋体" w:hAnsi="宋体" w:cs="宋体" w:hint="eastAsia"/>
                <w:color w:val="000000" w:themeColor="text1"/>
                <w:kern w:val="0"/>
                <w:sz w:val="24"/>
                <w:lang w:bidi="ar"/>
              </w:rPr>
              <w:t>公共卫生管理中心</w:t>
            </w:r>
          </w:p>
        </w:tc>
      </w:tr>
      <w:tr w:rsidR="009F5036">
        <w:trPr>
          <w:trHeight w:val="55"/>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预算执行情况</w:t>
            </w: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万元</w:t>
            </w:r>
            <w:r>
              <w:rPr>
                <w:rFonts w:ascii="宋体" w:hAnsi="宋体" w:cs="宋体" w:hint="eastAsia"/>
                <w:color w:val="000000" w:themeColor="text1"/>
                <w:kern w:val="0"/>
                <w:sz w:val="18"/>
                <w:szCs w:val="18"/>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预算数</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w:t>
            </w:r>
            <w:r>
              <w:rPr>
                <w:rFonts w:ascii="宋体" w:hAnsi="宋体" w:cs="宋体" w:hint="eastAsia"/>
                <w:color w:val="000000" w:themeColor="text1"/>
                <w:kern w:val="0"/>
                <w:sz w:val="24"/>
                <w:lang w:bidi="ar"/>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执行数</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w:t>
            </w:r>
            <w:r>
              <w:rPr>
                <w:rFonts w:ascii="宋体" w:hAnsi="宋体" w:cs="宋体" w:hint="eastAsia"/>
                <w:color w:val="000000" w:themeColor="text1"/>
                <w:kern w:val="0"/>
                <w:sz w:val="24"/>
                <w:lang w:bidi="ar"/>
              </w:rPr>
              <w:t>万元</w:t>
            </w:r>
          </w:p>
        </w:tc>
      </w:tr>
      <w:tr w:rsidR="009F5036">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其中</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财政拨款</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w:t>
            </w:r>
            <w:r>
              <w:rPr>
                <w:rFonts w:ascii="宋体" w:hAnsi="宋体" w:cs="宋体" w:hint="eastAsia"/>
                <w:color w:val="000000" w:themeColor="text1"/>
                <w:kern w:val="0"/>
                <w:sz w:val="24"/>
                <w:lang w:bidi="ar"/>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其中</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财政拨款</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w:t>
            </w:r>
            <w:r>
              <w:rPr>
                <w:rFonts w:ascii="宋体" w:hAnsi="宋体" w:cs="宋体" w:hint="eastAsia"/>
                <w:color w:val="000000" w:themeColor="text1"/>
                <w:kern w:val="0"/>
                <w:sz w:val="24"/>
                <w:lang w:bidi="ar"/>
              </w:rPr>
              <w:t>8</w:t>
            </w:r>
            <w:r>
              <w:rPr>
                <w:rFonts w:ascii="宋体" w:hAnsi="宋体" w:cs="宋体" w:hint="eastAsia"/>
                <w:color w:val="000000" w:themeColor="text1"/>
                <w:kern w:val="0"/>
                <w:sz w:val="24"/>
                <w:lang w:bidi="ar"/>
              </w:rPr>
              <w:t>万元</w:t>
            </w:r>
          </w:p>
        </w:tc>
      </w:tr>
      <w:tr w:rsidR="009F5036">
        <w:trPr>
          <w:trHeight w:val="11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其它资金</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其它资金</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无</w:t>
            </w:r>
          </w:p>
        </w:tc>
      </w:tr>
      <w:tr w:rsidR="009F503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实际完成目标</w:t>
            </w:r>
          </w:p>
        </w:tc>
      </w:tr>
      <w:tr w:rsidR="009F5036">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p>
        </w:tc>
      </w:tr>
      <w:tr w:rsidR="009F5036">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绩效指</w:t>
            </w:r>
            <w:r>
              <w:rPr>
                <w:rFonts w:ascii="宋体" w:hAnsi="宋体" w:cs="宋体" w:hint="eastAsia"/>
                <w:color w:val="000000" w:themeColor="text1"/>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预期指标值</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包含数字及文字描述</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实际完成指标值</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包含数字及文字描述</w:t>
            </w:r>
            <w:r>
              <w:rPr>
                <w:rFonts w:ascii="宋体" w:hAnsi="宋体" w:cs="宋体" w:hint="eastAsia"/>
                <w:color w:val="000000" w:themeColor="text1"/>
                <w:kern w:val="0"/>
                <w:sz w:val="24"/>
                <w:lang w:bidi="ar"/>
              </w:rPr>
              <w:t>)</w:t>
            </w:r>
          </w:p>
        </w:tc>
      </w:tr>
      <w:tr w:rsidR="009F5036">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hint="eastAsia"/>
                <w:color w:val="000000" w:themeColor="text1"/>
                <w:sz w:val="20"/>
                <w:szCs w:val="20"/>
              </w:rPr>
              <w:t>完成家庭医生签约宣传工作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jc w:val="center"/>
              <w:rPr>
                <w:rFonts w:ascii="宋体" w:hAnsi="宋体" w:cs="宋体"/>
                <w:color w:val="000000" w:themeColor="text1"/>
                <w:sz w:val="24"/>
              </w:rPr>
            </w:pPr>
            <w:r>
              <w:rPr>
                <w:rFonts w:hint="eastAsia"/>
                <w:color w:val="000000" w:themeColor="text1"/>
              </w:rPr>
              <w:t>100</w:t>
            </w:r>
            <w:r>
              <w:rPr>
                <w:rFonts w:hint="eastAsia"/>
                <w:color w:val="000000" w:themeColor="text1"/>
              </w:rPr>
              <w:t>%</w:t>
            </w:r>
          </w:p>
          <w:p w:rsidR="009F5036" w:rsidRDefault="009F5036">
            <w:pPr>
              <w:widowControl/>
              <w:jc w:val="center"/>
              <w:textAlignment w:val="center"/>
              <w:rPr>
                <w:rFonts w:ascii="宋体" w:hAnsi="宋体" w:cs="宋体"/>
                <w:color w:val="000000" w:themeColor="text1"/>
                <w:kern w:val="0"/>
                <w:sz w:val="24"/>
                <w:lang w:bidi="ar"/>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p>
        </w:tc>
      </w:tr>
      <w:tr w:rsidR="009F503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hint="eastAsia"/>
                <w:color w:val="000000" w:themeColor="text1"/>
                <w:sz w:val="20"/>
                <w:szCs w:val="20"/>
              </w:rPr>
              <w:t>完成家庭医生签约宣传工作，给予家庭医生签约团队经费保障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良好</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按工作计划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2</w:t>
            </w:r>
            <w:r>
              <w:rPr>
                <w:rFonts w:ascii="宋体" w:hAnsi="宋体" w:cs="宋体"/>
                <w:color w:val="000000" w:themeColor="text1"/>
                <w:kern w:val="0"/>
                <w:sz w:val="24"/>
                <w:lang w:bidi="ar"/>
              </w:rPr>
              <w:t>018</w:t>
            </w:r>
            <w:r>
              <w:rPr>
                <w:rFonts w:ascii="宋体" w:hAnsi="宋体" w:cs="宋体" w:hint="eastAsia"/>
                <w:color w:val="000000" w:themeColor="text1"/>
                <w:kern w:val="0"/>
                <w:sz w:val="24"/>
                <w:lang w:bidi="ar"/>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按时完成</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家庭医生签约服务补助经费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w:t>
            </w:r>
            <w:r>
              <w:rPr>
                <w:rFonts w:ascii="宋体" w:hAnsi="宋体" w:cs="宋体" w:hint="eastAsia"/>
                <w:color w:val="000000" w:themeColor="text1"/>
                <w:kern w:val="0"/>
                <w:sz w:val="24"/>
                <w:lang w:bidi="ar"/>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w:t>
            </w:r>
            <w:r>
              <w:rPr>
                <w:rFonts w:ascii="宋体" w:hAnsi="宋体" w:cs="宋体" w:hint="eastAsia"/>
                <w:color w:val="000000" w:themeColor="text1"/>
                <w:kern w:val="0"/>
                <w:sz w:val="24"/>
                <w:lang w:bidi="ar"/>
              </w:rPr>
              <w:t>万元</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jc w:val="center"/>
              <w:rPr>
                <w:rFonts w:ascii="宋体" w:hAnsi="宋体" w:cs="宋体"/>
                <w:color w:val="000000" w:themeColor="text1"/>
                <w:sz w:val="18"/>
                <w:szCs w:val="18"/>
              </w:rPr>
            </w:pPr>
            <w:r>
              <w:rPr>
                <w:rFonts w:ascii="宋体" w:hAnsi="宋体" w:cs="宋体" w:hint="eastAsia"/>
                <w:color w:val="000000" w:themeColor="text1"/>
                <w:kern w:val="0"/>
                <w:sz w:val="24"/>
                <w:lang w:bidi="ar"/>
              </w:rPr>
              <w:t>提升群众满意度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加强公众知晓率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9</w:t>
            </w:r>
            <w:r>
              <w:rPr>
                <w:rFonts w:ascii="宋体" w:hAnsi="宋体" w:cs="宋体"/>
                <w:color w:val="000000" w:themeColor="text1"/>
                <w:kern w:val="0"/>
                <w:sz w:val="24"/>
                <w:lang w:bidi="ar"/>
              </w:rPr>
              <w:t>0%</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4"/>
                <w:lang w:bidi="ar"/>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95</w:t>
            </w:r>
            <w:r>
              <w:rPr>
                <w:rFonts w:ascii="宋体" w:hAnsi="宋体" w:cs="宋体"/>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95</w:t>
            </w:r>
            <w:r>
              <w:rPr>
                <w:rFonts w:ascii="宋体" w:hAnsi="宋体" w:cs="宋体"/>
                <w:color w:val="000000" w:themeColor="text1"/>
                <w:kern w:val="0"/>
                <w:sz w:val="24"/>
                <w:lang w:bidi="ar"/>
              </w:rPr>
              <w:t>%</w:t>
            </w:r>
          </w:p>
        </w:tc>
      </w:tr>
    </w:tbl>
    <w:p w:rsidR="009F5036" w:rsidRDefault="009F5036">
      <w:pPr>
        <w:rPr>
          <w:color w:val="000000" w:themeColor="text1"/>
        </w:rPr>
      </w:pPr>
    </w:p>
    <w:p w:rsidR="009F5036" w:rsidRDefault="00514D84">
      <w:pPr>
        <w:tabs>
          <w:tab w:val="left" w:pos="312"/>
        </w:tabs>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卫生事业发展专项资金</w:t>
      </w:r>
    </w:p>
    <w:p w:rsidR="009F5036" w:rsidRDefault="00514D84">
      <w:pPr>
        <w:tabs>
          <w:tab w:val="left" w:pos="312"/>
        </w:tabs>
        <w:spacing w:line="58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项目全年预算数</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万元，执行数为</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万元，完成预算的</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。通过项目实施，</w:t>
      </w:r>
      <w:r>
        <w:rPr>
          <w:rFonts w:ascii="仿宋_GB2312" w:eastAsia="仿宋_GB2312" w:hint="eastAsia"/>
          <w:color w:val="000000" w:themeColor="text1"/>
          <w:sz w:val="32"/>
          <w:szCs w:val="32"/>
        </w:rPr>
        <w:t>提升基层医疗卫生机构软硬件设施</w:t>
      </w:r>
      <w:r>
        <w:rPr>
          <w:rFonts w:ascii="仿宋_GB2312" w:eastAsia="仿宋_GB2312" w:hint="eastAsia"/>
          <w:color w:val="000000" w:themeColor="text1"/>
          <w:sz w:val="32"/>
          <w:szCs w:val="32"/>
        </w:rPr>
        <w:t>。</w:t>
      </w: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9F5036">
        <w:trPr>
          <w:trHeight w:val="1034"/>
        </w:trPr>
        <w:tc>
          <w:tcPr>
            <w:tcW w:w="9960" w:type="dxa"/>
            <w:gridSpan w:val="6"/>
            <w:tcMar>
              <w:top w:w="15" w:type="dxa"/>
              <w:left w:w="15" w:type="dxa"/>
              <w:bottom w:w="0" w:type="dxa"/>
              <w:right w:w="15" w:type="dxa"/>
            </w:tcMar>
            <w:vAlign w:val="center"/>
          </w:tcPr>
          <w:p w:rsidR="009F5036" w:rsidRDefault="00514D84">
            <w:pPr>
              <w:pStyle w:val="a9"/>
              <w:widowControl/>
              <w:spacing w:before="93"/>
              <w:ind w:leftChars="1310" w:left="4173" w:hangingChars="395" w:hanging="1422"/>
              <w:textAlignment w:val="center"/>
              <w:rPr>
                <w:rFonts w:ascii="宋体" w:hAnsi="宋体" w:cs="宋体"/>
                <w:color w:val="000000" w:themeColor="text1"/>
                <w:sz w:val="36"/>
                <w:szCs w:val="36"/>
              </w:rPr>
            </w:pPr>
            <w:r>
              <w:rPr>
                <w:rFonts w:ascii="黑体" w:eastAsia="黑体" w:hAnsi="黑体" w:cs="宋体" w:hint="eastAsia"/>
                <w:bCs/>
                <w:color w:val="000000" w:themeColor="text1"/>
                <w:kern w:val="0"/>
                <w:sz w:val="36"/>
                <w:szCs w:val="36"/>
                <w:lang w:bidi="ar"/>
              </w:rPr>
              <w:t>项目支出绩效目标完成情况表</w:t>
            </w:r>
            <w:r>
              <w:rPr>
                <w:rFonts w:ascii="宋体" w:hAnsi="宋体" w:cs="宋体" w:hint="eastAsia"/>
                <w:b/>
                <w:bCs/>
                <w:color w:val="000000" w:themeColor="text1"/>
                <w:kern w:val="0"/>
                <w:sz w:val="36"/>
                <w:szCs w:val="36"/>
                <w:lang w:bidi="ar"/>
              </w:rPr>
              <w:br/>
            </w:r>
            <w:r>
              <w:rPr>
                <w:rFonts w:ascii="宋体" w:hAnsi="宋体" w:cs="宋体" w:hint="eastAsia"/>
                <w:color w:val="000000" w:themeColor="text1"/>
                <w:kern w:val="0"/>
                <w:sz w:val="36"/>
                <w:szCs w:val="36"/>
                <w:lang w:bidi="ar"/>
              </w:rPr>
              <w:t xml:space="preserve">(2018 </w:t>
            </w:r>
            <w:r>
              <w:rPr>
                <w:rFonts w:ascii="宋体" w:hAnsi="宋体" w:cs="宋体" w:hint="eastAsia"/>
                <w:color w:val="000000" w:themeColor="text1"/>
                <w:kern w:val="0"/>
                <w:sz w:val="36"/>
                <w:szCs w:val="36"/>
                <w:lang w:bidi="ar"/>
              </w:rPr>
              <w:t>年度</w:t>
            </w:r>
            <w:r>
              <w:rPr>
                <w:rFonts w:ascii="宋体" w:hAnsi="宋体" w:cs="宋体" w:hint="eastAsia"/>
                <w:color w:val="000000" w:themeColor="text1"/>
                <w:kern w:val="0"/>
                <w:sz w:val="36"/>
                <w:szCs w:val="36"/>
                <w:lang w:bidi="ar"/>
              </w:rPr>
              <w:t>)</w:t>
            </w:r>
          </w:p>
        </w:tc>
      </w:tr>
      <w:tr w:rsidR="009F5036">
        <w:trPr>
          <w:trHeight w:val="63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tabs>
                <w:tab w:val="left" w:pos="312"/>
              </w:tabs>
              <w:spacing w:line="580" w:lineRule="exact"/>
              <w:ind w:firstLineChars="800" w:firstLine="1920"/>
              <w:rPr>
                <w:rFonts w:ascii="宋体" w:hAnsi="宋体" w:cs="宋体"/>
                <w:color w:val="000000" w:themeColor="text1"/>
                <w:kern w:val="0"/>
                <w:sz w:val="24"/>
                <w:lang w:bidi="ar"/>
              </w:rPr>
            </w:pPr>
            <w:r>
              <w:rPr>
                <w:rFonts w:ascii="宋体" w:hAnsi="宋体" w:cs="宋体" w:hint="eastAsia"/>
                <w:color w:val="000000" w:themeColor="text1"/>
                <w:kern w:val="0"/>
                <w:sz w:val="24"/>
                <w:lang w:bidi="ar"/>
              </w:rPr>
              <w:t>卫生事业发展专项资金</w:t>
            </w:r>
          </w:p>
        </w:tc>
      </w:tr>
      <w:tr w:rsidR="009F503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西区</w:t>
            </w:r>
            <w:r>
              <w:rPr>
                <w:rFonts w:ascii="宋体" w:hAnsi="宋体" w:cs="宋体" w:hint="eastAsia"/>
                <w:color w:val="000000" w:themeColor="text1"/>
                <w:kern w:val="0"/>
                <w:sz w:val="24"/>
                <w:lang w:bidi="ar"/>
              </w:rPr>
              <w:t>公共卫生管理中心</w:t>
            </w:r>
          </w:p>
        </w:tc>
      </w:tr>
      <w:tr w:rsidR="009F5036">
        <w:trPr>
          <w:trHeight w:val="55"/>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预算执行情况</w:t>
            </w: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万元</w:t>
            </w:r>
            <w:r>
              <w:rPr>
                <w:rFonts w:ascii="宋体" w:hAnsi="宋体" w:cs="宋体" w:hint="eastAsia"/>
                <w:color w:val="000000" w:themeColor="text1"/>
                <w:kern w:val="0"/>
                <w:sz w:val="18"/>
                <w:szCs w:val="18"/>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预算数</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15</w:t>
            </w:r>
            <w:r>
              <w:rPr>
                <w:rFonts w:ascii="宋体" w:hAnsi="宋体" w:cs="宋体" w:hint="eastAsia"/>
                <w:color w:val="000000" w:themeColor="text1"/>
                <w:kern w:val="0"/>
                <w:sz w:val="24"/>
                <w:lang w:bidi="ar"/>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执行数</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15</w:t>
            </w:r>
            <w:r>
              <w:rPr>
                <w:rFonts w:ascii="宋体" w:hAnsi="宋体" w:cs="宋体" w:hint="eastAsia"/>
                <w:color w:val="000000" w:themeColor="text1"/>
                <w:kern w:val="0"/>
                <w:sz w:val="24"/>
                <w:lang w:bidi="ar"/>
              </w:rPr>
              <w:t>万元</w:t>
            </w:r>
          </w:p>
        </w:tc>
      </w:tr>
      <w:tr w:rsidR="009F5036">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其中</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财政拨款</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15</w:t>
            </w:r>
            <w:r>
              <w:rPr>
                <w:rFonts w:ascii="宋体" w:hAnsi="宋体" w:cs="宋体" w:hint="eastAsia"/>
                <w:color w:val="000000" w:themeColor="text1"/>
                <w:kern w:val="0"/>
                <w:sz w:val="24"/>
                <w:lang w:bidi="ar"/>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其中</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财政拨款</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15</w:t>
            </w:r>
            <w:r>
              <w:rPr>
                <w:rFonts w:ascii="宋体" w:hAnsi="宋体" w:cs="宋体" w:hint="eastAsia"/>
                <w:color w:val="000000" w:themeColor="text1"/>
                <w:kern w:val="0"/>
                <w:sz w:val="24"/>
                <w:lang w:bidi="ar"/>
              </w:rPr>
              <w:t>万元</w:t>
            </w:r>
          </w:p>
        </w:tc>
      </w:tr>
      <w:tr w:rsidR="009F5036">
        <w:trPr>
          <w:trHeight w:val="11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其它资金</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其它资金</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无</w:t>
            </w:r>
          </w:p>
        </w:tc>
      </w:tr>
      <w:tr w:rsidR="009F503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实际完成目标</w:t>
            </w:r>
          </w:p>
        </w:tc>
      </w:tr>
      <w:tr w:rsidR="009F5036">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p>
        </w:tc>
      </w:tr>
      <w:tr w:rsidR="009F5036">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预期指标值</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包含数字及文字描述</w:t>
            </w:r>
            <w:r>
              <w:rPr>
                <w:rFonts w:ascii="宋体" w:hAnsi="宋体" w:cs="宋体" w:hint="eastAsia"/>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实际完成指标值</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包含数字及文字描述</w:t>
            </w:r>
            <w:r>
              <w:rPr>
                <w:rFonts w:ascii="宋体" w:hAnsi="宋体" w:cs="宋体" w:hint="eastAsia"/>
                <w:color w:val="000000" w:themeColor="text1"/>
                <w:kern w:val="0"/>
                <w:sz w:val="24"/>
                <w:lang w:bidi="ar"/>
              </w:rPr>
              <w:t>)</w:t>
            </w:r>
          </w:p>
        </w:tc>
      </w:tr>
      <w:tr w:rsidR="009F5036">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hint="eastAsia"/>
                <w:color w:val="000000" w:themeColor="text1"/>
                <w:sz w:val="20"/>
                <w:szCs w:val="20"/>
              </w:rPr>
              <w:t>完成卫生事业发展专项工作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jc w:val="center"/>
              <w:rPr>
                <w:rFonts w:ascii="宋体" w:hAnsi="宋体" w:cs="宋体"/>
                <w:color w:val="000000" w:themeColor="text1"/>
                <w:sz w:val="24"/>
              </w:rPr>
            </w:pPr>
            <w:r>
              <w:rPr>
                <w:rFonts w:hint="eastAsia"/>
                <w:color w:val="000000" w:themeColor="text1"/>
              </w:rPr>
              <w:t>100%</w:t>
            </w:r>
          </w:p>
          <w:p w:rsidR="009F5036" w:rsidRDefault="009F5036">
            <w:pPr>
              <w:widowControl/>
              <w:jc w:val="center"/>
              <w:textAlignment w:val="center"/>
              <w:rPr>
                <w:rFonts w:ascii="宋体" w:hAnsi="宋体" w:cs="宋体"/>
                <w:color w:val="000000" w:themeColor="text1"/>
                <w:kern w:val="0"/>
                <w:sz w:val="24"/>
                <w:lang w:bidi="ar"/>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p>
        </w:tc>
      </w:tr>
      <w:tr w:rsidR="009F503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hint="eastAsia"/>
                <w:color w:val="000000" w:themeColor="text1"/>
                <w:sz w:val="20"/>
                <w:szCs w:val="20"/>
              </w:rPr>
              <w:t>完善基层医疗卫生机构基础设施和基本社保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良好</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按工作计划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2</w:t>
            </w:r>
            <w:r>
              <w:rPr>
                <w:rFonts w:ascii="宋体" w:hAnsi="宋体" w:cs="宋体"/>
                <w:color w:val="000000" w:themeColor="text1"/>
                <w:kern w:val="0"/>
                <w:sz w:val="24"/>
                <w:lang w:bidi="ar"/>
              </w:rPr>
              <w:t>018</w:t>
            </w:r>
            <w:r>
              <w:rPr>
                <w:rFonts w:ascii="宋体" w:hAnsi="宋体" w:cs="宋体" w:hint="eastAsia"/>
                <w:color w:val="000000" w:themeColor="text1"/>
                <w:kern w:val="0"/>
                <w:sz w:val="24"/>
                <w:lang w:bidi="ar"/>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按时完成</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卫生事业发展专项资金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15</w:t>
            </w:r>
            <w:r>
              <w:rPr>
                <w:rFonts w:ascii="宋体" w:hAnsi="宋体" w:cs="宋体" w:hint="eastAsia"/>
                <w:color w:val="000000" w:themeColor="text1"/>
                <w:kern w:val="0"/>
                <w:sz w:val="24"/>
                <w:lang w:bidi="ar"/>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15</w:t>
            </w:r>
            <w:r>
              <w:rPr>
                <w:rFonts w:ascii="宋体" w:hAnsi="宋体" w:cs="宋体" w:hint="eastAsia"/>
                <w:color w:val="000000" w:themeColor="text1"/>
                <w:kern w:val="0"/>
                <w:sz w:val="24"/>
                <w:lang w:bidi="ar"/>
              </w:rPr>
              <w:t>万元</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jc w:val="center"/>
              <w:rPr>
                <w:rFonts w:ascii="宋体" w:hAnsi="宋体" w:cs="宋体"/>
                <w:color w:val="000000" w:themeColor="text1"/>
                <w:sz w:val="18"/>
                <w:szCs w:val="18"/>
              </w:rPr>
            </w:pPr>
            <w:r>
              <w:rPr>
                <w:rFonts w:ascii="宋体" w:hAnsi="宋体" w:cs="宋体" w:hint="eastAsia"/>
                <w:color w:val="000000" w:themeColor="text1"/>
                <w:kern w:val="0"/>
                <w:sz w:val="24"/>
                <w:lang w:bidi="ar"/>
              </w:rPr>
              <w:t>满足辖区居民就医需求，提升群众满意度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加强公众知晓率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9</w:t>
            </w:r>
            <w:r>
              <w:rPr>
                <w:rFonts w:ascii="宋体" w:hAnsi="宋体" w:cs="宋体"/>
                <w:color w:val="000000" w:themeColor="text1"/>
                <w:kern w:val="0"/>
                <w:sz w:val="24"/>
                <w:lang w:bidi="ar"/>
              </w:rPr>
              <w:t>0%</w:t>
            </w:r>
          </w:p>
        </w:tc>
      </w:tr>
      <w:tr w:rsidR="009F50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F5036" w:rsidRDefault="009F5036">
            <w:pPr>
              <w:widowControl/>
              <w:jc w:val="left"/>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4"/>
                <w:lang w:bidi="ar"/>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95</w:t>
            </w:r>
            <w:r>
              <w:rPr>
                <w:rFonts w:ascii="宋体" w:hAnsi="宋体" w:cs="宋体"/>
                <w:color w:val="000000" w:themeColor="text1"/>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F5036" w:rsidRDefault="00514D8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95</w:t>
            </w:r>
            <w:r>
              <w:rPr>
                <w:rFonts w:ascii="宋体" w:hAnsi="宋体" w:cs="宋体"/>
                <w:color w:val="000000" w:themeColor="text1"/>
                <w:kern w:val="0"/>
                <w:sz w:val="24"/>
                <w:lang w:bidi="ar"/>
              </w:rPr>
              <w:t>%</w:t>
            </w:r>
          </w:p>
        </w:tc>
      </w:tr>
    </w:tbl>
    <w:p w:rsidR="009F5036" w:rsidRDefault="009F5036">
      <w:pPr>
        <w:rPr>
          <w:color w:val="000000" w:themeColor="text1"/>
        </w:rPr>
      </w:pPr>
    </w:p>
    <w:p w:rsidR="009F5036" w:rsidRDefault="009F5036">
      <w:pPr>
        <w:rPr>
          <w:rFonts w:ascii="宋体" w:hAnsi="宋体" w:cs="宋体"/>
          <w:color w:val="0000FF"/>
          <w:kern w:val="0"/>
          <w:sz w:val="24"/>
          <w:lang w:bidi="ar"/>
        </w:rPr>
      </w:pPr>
    </w:p>
    <w:p w:rsidR="009F5036" w:rsidRDefault="00514D84">
      <w:pPr>
        <w:spacing w:line="600" w:lineRule="exact"/>
        <w:ind w:firstLineChars="250" w:firstLine="800"/>
        <w:outlineLvl w:val="1"/>
        <w:rPr>
          <w:rStyle w:val="20"/>
          <w:rFonts w:ascii="黑体" w:eastAsia="黑体" w:hAnsi="黑体"/>
        </w:rPr>
      </w:pPr>
      <w:bookmarkStart w:id="51" w:name="_Toc15396612"/>
      <w:bookmarkStart w:id="52" w:name="_Toc15377221"/>
      <w:r>
        <w:rPr>
          <w:rFonts w:ascii="黑体" w:eastAsia="黑体" w:hAnsi="黑体" w:hint="eastAsia"/>
          <w:sz w:val="32"/>
          <w:szCs w:val="32"/>
        </w:rPr>
        <w:t>十</w:t>
      </w:r>
      <w:r>
        <w:rPr>
          <w:rStyle w:val="20"/>
          <w:rFonts w:ascii="黑体" w:eastAsia="黑体" w:hAnsi="黑体" w:hint="eastAsia"/>
        </w:rPr>
        <w:t>一、</w:t>
      </w:r>
      <w:r>
        <w:rPr>
          <w:rStyle w:val="20"/>
          <w:rFonts w:ascii="黑体" w:eastAsia="黑体" w:hAnsi="黑体" w:hint="eastAsia"/>
          <w:b w:val="0"/>
        </w:rPr>
        <w:t>其他重要事项的情况说明</w:t>
      </w:r>
      <w:bookmarkEnd w:id="51"/>
      <w:bookmarkEnd w:id="52"/>
    </w:p>
    <w:p w:rsidR="009F5036" w:rsidRDefault="00514D84">
      <w:pPr>
        <w:spacing w:line="600" w:lineRule="exact"/>
        <w:ind w:firstLineChars="200" w:firstLine="643"/>
        <w:outlineLvl w:val="2"/>
        <w:rPr>
          <w:rFonts w:ascii="仿宋" w:eastAsia="仿宋" w:hAnsi="仿宋"/>
          <w:sz w:val="32"/>
          <w:szCs w:val="32"/>
        </w:rPr>
      </w:pPr>
      <w:bookmarkStart w:id="53" w:name="_Toc15377222"/>
      <w:r>
        <w:rPr>
          <w:rFonts w:ascii="仿宋" w:eastAsia="仿宋" w:hAnsi="仿宋" w:hint="eastAsia"/>
          <w:b/>
          <w:sz w:val="32"/>
          <w:szCs w:val="32"/>
        </w:rPr>
        <w:t>（一）机关运行经费支出情况</w:t>
      </w:r>
      <w:bookmarkEnd w:id="53"/>
    </w:p>
    <w:p w:rsidR="009F5036" w:rsidRDefault="00514D84">
      <w:pPr>
        <w:spacing w:line="600" w:lineRule="exact"/>
        <w:ind w:firstLineChars="200" w:firstLine="640"/>
        <w:rPr>
          <w:rFonts w:ascii="仿宋_GB2312" w:eastAsia="仿宋_GB2312"/>
          <w:color w:val="000000" w:themeColor="text1"/>
          <w:sz w:val="32"/>
          <w:szCs w:val="32"/>
        </w:rPr>
      </w:pPr>
      <w:r>
        <w:rPr>
          <w:rFonts w:ascii="仿宋_GB2312" w:eastAsia="仿宋_GB2312"/>
          <w:sz w:val="32"/>
          <w:szCs w:val="32"/>
        </w:rPr>
        <w:t>201</w:t>
      </w:r>
      <w:r>
        <w:rPr>
          <w:rFonts w:ascii="仿宋_GB2312" w:eastAsia="仿宋_GB2312" w:hint="eastAsia"/>
          <w:sz w:val="32"/>
          <w:szCs w:val="32"/>
        </w:rPr>
        <w:t>8</w:t>
      </w:r>
      <w:r>
        <w:rPr>
          <w:rFonts w:ascii="仿宋_GB2312" w:eastAsia="仿宋_GB2312" w:hint="eastAsia"/>
          <w:sz w:val="32"/>
          <w:szCs w:val="32"/>
        </w:rPr>
        <w:t>年，本单位机关运行经费支出</w:t>
      </w:r>
      <w:r>
        <w:rPr>
          <w:rFonts w:ascii="仿宋_GB2312" w:eastAsia="仿宋_GB2312" w:hint="eastAsia"/>
          <w:sz w:val="32"/>
          <w:szCs w:val="32"/>
        </w:rPr>
        <w:t>7.53</w:t>
      </w:r>
      <w:r>
        <w:rPr>
          <w:rFonts w:ascii="仿宋_GB2312" w:eastAsia="仿宋_GB2312" w:hint="eastAsia"/>
          <w:sz w:val="32"/>
          <w:szCs w:val="32"/>
        </w:rPr>
        <w:t>万元，比</w:t>
      </w:r>
      <w:r>
        <w:rPr>
          <w:rFonts w:ascii="仿宋_GB2312" w:eastAsia="仿宋_GB2312"/>
          <w:sz w:val="32"/>
          <w:szCs w:val="32"/>
        </w:rPr>
        <w:t>201</w:t>
      </w:r>
      <w:r>
        <w:rPr>
          <w:rFonts w:ascii="仿宋_GB2312" w:eastAsia="仿宋_GB2312" w:hint="eastAsia"/>
          <w:sz w:val="32"/>
          <w:szCs w:val="32"/>
        </w:rPr>
        <w:t>7</w:t>
      </w:r>
      <w:r>
        <w:rPr>
          <w:rFonts w:ascii="仿宋_GB2312" w:eastAsia="仿宋_GB2312" w:hint="eastAsia"/>
          <w:sz w:val="32"/>
          <w:szCs w:val="32"/>
        </w:rPr>
        <w:t>年减少</w:t>
      </w:r>
      <w:r>
        <w:rPr>
          <w:rFonts w:ascii="仿宋_GB2312" w:eastAsia="仿宋_GB2312" w:hint="eastAsia"/>
          <w:sz w:val="32"/>
          <w:szCs w:val="32"/>
        </w:rPr>
        <w:t>-4.02</w:t>
      </w:r>
      <w:r>
        <w:rPr>
          <w:rFonts w:ascii="仿宋_GB2312" w:eastAsia="仿宋_GB2312" w:hint="eastAsia"/>
          <w:sz w:val="32"/>
          <w:szCs w:val="32"/>
        </w:rPr>
        <w:t>万元，下降</w:t>
      </w:r>
      <w:r>
        <w:rPr>
          <w:rFonts w:ascii="仿宋_GB2312" w:eastAsia="仿宋_GB2312" w:hint="eastAsia"/>
          <w:sz w:val="32"/>
          <w:szCs w:val="32"/>
        </w:rPr>
        <w:t>34.8</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color w:val="000000" w:themeColor="text1"/>
          <w:sz w:val="32"/>
          <w:szCs w:val="32"/>
        </w:rPr>
        <w:t>主要原因是差旅费等减少。</w:t>
      </w:r>
    </w:p>
    <w:p w:rsidR="009F5036" w:rsidRDefault="00514D84">
      <w:pPr>
        <w:autoSpaceDE w:val="0"/>
        <w:autoSpaceDN w:val="0"/>
        <w:adjustRightInd w:val="0"/>
        <w:spacing w:line="600" w:lineRule="exact"/>
        <w:ind w:firstLineChars="200" w:firstLine="643"/>
        <w:jc w:val="left"/>
        <w:outlineLvl w:val="2"/>
        <w:rPr>
          <w:rFonts w:ascii="仿宋" w:eastAsia="仿宋" w:hAnsi="仿宋"/>
          <w:b/>
          <w:color w:val="000000" w:themeColor="text1"/>
          <w:sz w:val="32"/>
          <w:szCs w:val="32"/>
        </w:rPr>
      </w:pPr>
      <w:bookmarkStart w:id="54" w:name="_Toc15377223"/>
      <w:r>
        <w:rPr>
          <w:rFonts w:ascii="仿宋" w:eastAsia="仿宋" w:hAnsi="仿宋" w:hint="eastAsia"/>
          <w:b/>
          <w:color w:val="000000" w:themeColor="text1"/>
          <w:sz w:val="32"/>
          <w:szCs w:val="32"/>
        </w:rPr>
        <w:t>（二）政府采购支出情况</w:t>
      </w:r>
      <w:bookmarkEnd w:id="54"/>
    </w:p>
    <w:p w:rsidR="009F5036" w:rsidRDefault="00514D84">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201</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年，本单位政府采购支出总额</w:t>
      </w:r>
      <w:r>
        <w:rPr>
          <w:rFonts w:ascii="仿宋_GB2312" w:eastAsia="仿宋_GB2312" w:hint="eastAsia"/>
          <w:color w:val="000000" w:themeColor="text1"/>
          <w:sz w:val="32"/>
          <w:szCs w:val="32"/>
        </w:rPr>
        <w:t>1.792</w:t>
      </w:r>
      <w:r>
        <w:rPr>
          <w:rFonts w:ascii="仿宋_GB2312" w:eastAsia="仿宋_GB2312" w:hint="eastAsia"/>
          <w:color w:val="000000" w:themeColor="text1"/>
          <w:sz w:val="32"/>
          <w:szCs w:val="32"/>
        </w:rPr>
        <w:t>万元，均为</w:t>
      </w:r>
      <w:r>
        <w:rPr>
          <w:rFonts w:ascii="仿宋_GB2312" w:eastAsia="仿宋_GB2312" w:hint="eastAsia"/>
          <w:color w:val="000000" w:themeColor="text1"/>
          <w:sz w:val="32"/>
          <w:szCs w:val="32"/>
        </w:rPr>
        <w:lastRenderedPageBreak/>
        <w:t>政府采购货物支出。主要用于办公使用。</w:t>
      </w:r>
    </w:p>
    <w:p w:rsidR="009F5036" w:rsidRDefault="00514D84">
      <w:pPr>
        <w:autoSpaceDE w:val="0"/>
        <w:autoSpaceDN w:val="0"/>
        <w:adjustRightInd w:val="0"/>
        <w:spacing w:line="600" w:lineRule="exact"/>
        <w:ind w:firstLineChars="200" w:firstLine="643"/>
        <w:jc w:val="left"/>
        <w:outlineLvl w:val="2"/>
        <w:rPr>
          <w:rFonts w:ascii="仿宋" w:eastAsia="仿宋" w:hAnsi="仿宋"/>
          <w:b/>
          <w:sz w:val="32"/>
          <w:szCs w:val="32"/>
        </w:rPr>
      </w:pPr>
      <w:bookmarkStart w:id="55" w:name="_Toc15377224"/>
      <w:r>
        <w:rPr>
          <w:rFonts w:ascii="仿宋" w:eastAsia="仿宋" w:hAnsi="仿宋" w:hint="eastAsia"/>
          <w:b/>
          <w:sz w:val="32"/>
          <w:szCs w:val="32"/>
        </w:rPr>
        <w:t>（三）国有资产占有使用情况</w:t>
      </w:r>
      <w:bookmarkEnd w:id="55"/>
    </w:p>
    <w:p w:rsidR="009F5036" w:rsidRDefault="00514D84">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201</w:t>
      </w:r>
      <w:r>
        <w:rPr>
          <w:rFonts w:ascii="仿宋_GB2312" w:eastAsia="仿宋_GB2312" w:hint="eastAsia"/>
          <w:sz w:val="32"/>
          <w:szCs w:val="32"/>
        </w:rPr>
        <w:t>8</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日，本单位无车辆</w:t>
      </w:r>
      <w:r>
        <w:rPr>
          <w:rFonts w:ascii="仿宋_GB2312" w:eastAsia="仿宋_GB2312" w:hint="eastAsia"/>
          <w:sz w:val="32"/>
          <w:szCs w:val="32"/>
        </w:rPr>
        <w:t>,</w:t>
      </w:r>
      <w:r>
        <w:rPr>
          <w:rFonts w:ascii="仿宋_GB2312" w:eastAsia="仿宋_GB2312" w:hint="eastAsia"/>
          <w:sz w:val="32"/>
          <w:szCs w:val="32"/>
        </w:rPr>
        <w:t>无单价</w:t>
      </w:r>
      <w:r>
        <w:rPr>
          <w:rFonts w:ascii="仿宋_GB2312" w:eastAsia="仿宋_GB2312"/>
          <w:sz w:val="32"/>
          <w:szCs w:val="32"/>
        </w:rPr>
        <w:t>50</w:t>
      </w:r>
      <w:r>
        <w:rPr>
          <w:rFonts w:ascii="仿宋_GB2312" w:eastAsia="仿宋_GB2312" w:hint="eastAsia"/>
          <w:sz w:val="32"/>
          <w:szCs w:val="32"/>
        </w:rPr>
        <w:t>万元以上通用设备和单价</w:t>
      </w:r>
      <w:r>
        <w:rPr>
          <w:rFonts w:ascii="仿宋_GB2312" w:eastAsia="仿宋_GB2312"/>
          <w:sz w:val="32"/>
          <w:szCs w:val="32"/>
        </w:rPr>
        <w:t>100</w:t>
      </w:r>
      <w:r>
        <w:rPr>
          <w:rFonts w:ascii="仿宋_GB2312" w:eastAsia="仿宋_GB2312" w:hint="eastAsia"/>
          <w:sz w:val="32"/>
          <w:szCs w:val="32"/>
        </w:rPr>
        <w:t>万元以上专用设备。</w:t>
      </w:r>
    </w:p>
    <w:p w:rsidR="009F5036" w:rsidRDefault="009F5036">
      <w:pPr>
        <w:spacing w:line="600" w:lineRule="atLeast"/>
        <w:ind w:firstLineChars="200" w:firstLine="640"/>
        <w:rPr>
          <w:rFonts w:ascii="仿宋_GB2312" w:eastAsia="仿宋_GB2312"/>
          <w:b/>
          <w:color w:val="0000FF"/>
          <w:sz w:val="32"/>
          <w:szCs w:val="32"/>
        </w:rPr>
      </w:pPr>
    </w:p>
    <w:p w:rsidR="009F5036" w:rsidRDefault="00514D84">
      <w:pPr>
        <w:widowControl/>
        <w:jc w:val="left"/>
        <w:rPr>
          <w:rFonts w:ascii="仿宋_GB2312" w:eastAsia="仿宋_GB2312"/>
          <w:b/>
          <w:color w:val="0000FF"/>
          <w:sz w:val="32"/>
          <w:szCs w:val="32"/>
        </w:rPr>
      </w:pPr>
      <w:r>
        <w:rPr>
          <w:rFonts w:ascii="仿宋_GB2312" w:eastAsia="仿宋_GB2312"/>
          <w:b/>
          <w:color w:val="0000FF"/>
          <w:sz w:val="32"/>
          <w:szCs w:val="32"/>
        </w:rPr>
        <w:br w:type="page"/>
      </w:r>
    </w:p>
    <w:p w:rsidR="009F5036" w:rsidRDefault="00514D84">
      <w:pPr>
        <w:numPr>
          <w:ilvl w:val="0"/>
          <w:numId w:val="5"/>
        </w:numPr>
        <w:spacing w:line="600" w:lineRule="exact"/>
        <w:ind w:firstLineChars="150" w:firstLine="663"/>
        <w:jc w:val="center"/>
        <w:outlineLvl w:val="0"/>
        <w:rPr>
          <w:rStyle w:val="10"/>
          <w:rFonts w:ascii="黑体" w:eastAsia="黑体" w:hAnsi="黑体"/>
          <w:b w:val="0"/>
          <w:color w:val="000000" w:themeColor="text1"/>
        </w:rPr>
      </w:pPr>
      <w:bookmarkStart w:id="56" w:name="_Toc15396613"/>
      <w:bookmarkStart w:id="57" w:name="_Toc15377225"/>
      <w:r>
        <w:rPr>
          <w:rFonts w:ascii="黑体" w:eastAsia="黑体" w:hAnsi="黑体" w:hint="eastAsia"/>
          <w:b/>
          <w:color w:val="000000" w:themeColor="text1"/>
          <w:sz w:val="44"/>
          <w:szCs w:val="44"/>
        </w:rPr>
        <w:lastRenderedPageBreak/>
        <w:t>名</w:t>
      </w:r>
      <w:r>
        <w:rPr>
          <w:rStyle w:val="10"/>
          <w:rFonts w:ascii="黑体" w:eastAsia="黑体" w:hAnsi="黑体" w:hint="eastAsia"/>
          <w:b w:val="0"/>
          <w:color w:val="000000" w:themeColor="text1"/>
        </w:rPr>
        <w:t>词解释</w:t>
      </w:r>
      <w:bookmarkEnd w:id="56"/>
      <w:bookmarkEnd w:id="57"/>
    </w:p>
    <w:p w:rsidR="009F5036" w:rsidRDefault="009F5036">
      <w:pPr>
        <w:spacing w:line="600" w:lineRule="exact"/>
        <w:jc w:val="left"/>
        <w:rPr>
          <w:rFonts w:ascii="宋体"/>
          <w:b/>
          <w:color w:val="000000" w:themeColor="text1"/>
          <w:sz w:val="44"/>
          <w:szCs w:val="44"/>
        </w:rPr>
      </w:pPr>
    </w:p>
    <w:p w:rsidR="009F5036" w:rsidRDefault="00514D8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1.</w:t>
      </w:r>
      <w:r>
        <w:rPr>
          <w:rFonts w:ascii="仿宋_GB2312" w:eastAsia="仿宋_GB2312" w:hint="eastAsia"/>
          <w:color w:val="000000" w:themeColor="text1"/>
          <w:sz w:val="32"/>
          <w:szCs w:val="32"/>
        </w:rPr>
        <w:t>财政拨款收入：指单位从同级财政部门取得的财政预算资金。</w:t>
      </w:r>
    </w:p>
    <w:p w:rsidR="009F5036" w:rsidRDefault="00514D8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w:t>
      </w:r>
      <w:r>
        <w:rPr>
          <w:rFonts w:ascii="仿宋_GB2312" w:eastAsia="仿宋_GB2312" w:hint="eastAsia"/>
          <w:color w:val="000000" w:themeColor="text1"/>
          <w:sz w:val="32"/>
          <w:szCs w:val="32"/>
        </w:rPr>
        <w:t>事业收入：指事业单位开展专业业务活动及辅助活动取得的收入。</w:t>
      </w:r>
    </w:p>
    <w:p w:rsidR="009F5036" w:rsidRDefault="00514D8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3.</w:t>
      </w:r>
      <w:r>
        <w:rPr>
          <w:rFonts w:ascii="仿宋_GB2312" w:eastAsia="仿宋_GB2312" w:hint="eastAsia"/>
          <w:color w:val="000000" w:themeColor="text1"/>
          <w:sz w:val="32"/>
          <w:szCs w:val="32"/>
        </w:rPr>
        <w:t>经营收入：指事业单位在专业业务活动及其辅助活动之外开展非独立核算经营活动取得的收入</w:t>
      </w:r>
    </w:p>
    <w:p w:rsidR="009F5036" w:rsidRDefault="00514D8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4.</w:t>
      </w:r>
      <w:r>
        <w:rPr>
          <w:rFonts w:ascii="仿宋_GB2312" w:eastAsia="仿宋_GB2312" w:hint="eastAsia"/>
          <w:color w:val="000000" w:themeColor="text1"/>
          <w:sz w:val="32"/>
          <w:szCs w:val="32"/>
        </w:rPr>
        <w:t>其他收入：指单位取得的除上述收入以外的各项收入。全部是利息收入。</w:t>
      </w:r>
    </w:p>
    <w:p w:rsidR="009F5036" w:rsidRDefault="00514D8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5.</w:t>
      </w:r>
      <w:r>
        <w:rPr>
          <w:rFonts w:ascii="仿宋_GB2312" w:eastAsia="仿宋_GB2312" w:hint="eastAsia"/>
          <w:color w:val="000000" w:themeColor="text1"/>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9F5036" w:rsidRDefault="00514D8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6.</w:t>
      </w:r>
      <w:r>
        <w:rPr>
          <w:rFonts w:ascii="仿宋_GB2312" w:eastAsia="仿宋_GB2312" w:hint="eastAsia"/>
          <w:color w:val="000000" w:themeColor="text1"/>
          <w:sz w:val="32"/>
          <w:szCs w:val="32"/>
        </w:rPr>
        <w:t>年初结转和结余：指以前年度尚未完成、结转到本年按有关规定继续使用的资金。</w:t>
      </w:r>
    </w:p>
    <w:p w:rsidR="009F5036" w:rsidRDefault="00514D8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7.</w:t>
      </w:r>
      <w:r>
        <w:rPr>
          <w:rFonts w:ascii="仿宋_GB2312" w:eastAsia="仿宋_GB2312" w:hint="eastAsia"/>
          <w:color w:val="000000" w:themeColor="text1"/>
          <w:sz w:val="32"/>
          <w:szCs w:val="32"/>
        </w:rPr>
        <w:t>结余分配：指事业单位按照事业单位会计制度的规定从非财政补助结余中分配的事业基金和职工福利基金等。</w:t>
      </w:r>
    </w:p>
    <w:p w:rsidR="009F5036" w:rsidRDefault="00514D8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8</w:t>
      </w:r>
      <w:r>
        <w:rPr>
          <w:rFonts w:ascii="仿宋_GB2312" w:eastAsia="仿宋_GB2312" w:hint="eastAsia"/>
          <w:color w:val="000000" w:themeColor="text1"/>
          <w:sz w:val="32"/>
          <w:szCs w:val="32"/>
        </w:rPr>
        <w:t>、年末结转和结余：指单位按有关规定结转到下年或以后年度继续使用的资金。</w:t>
      </w:r>
    </w:p>
    <w:p w:rsidR="009F5036" w:rsidRDefault="00514D84">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9.</w:t>
      </w:r>
      <w:r>
        <w:rPr>
          <w:rFonts w:ascii="仿宋_GB2312" w:eastAsia="仿宋_GB2312" w:hAnsi="Calibri" w:cs="仿宋" w:hint="eastAsia"/>
          <w:kern w:val="0"/>
          <w:sz w:val="32"/>
          <w:szCs w:val="32"/>
        </w:rPr>
        <w:t>社会保障和就业</w:t>
      </w:r>
      <w:r>
        <w:rPr>
          <w:rFonts w:ascii="仿宋_GB2312" w:eastAsia="仿宋_GB2312" w:hAnsi="Calibri" w:cs="仿宋" w:hint="eastAsia"/>
          <w:kern w:val="0"/>
          <w:sz w:val="32"/>
          <w:szCs w:val="32"/>
        </w:rPr>
        <w:t>:</w:t>
      </w:r>
    </w:p>
    <w:p w:rsidR="009F5036" w:rsidRDefault="00514D84">
      <w:pPr>
        <w:ind w:firstLineChars="200" w:firstLine="420"/>
        <w:rPr>
          <w:rFonts w:ascii="仿宋_GB2312" w:eastAsia="仿宋_GB2312"/>
          <w:sz w:val="32"/>
          <w:szCs w:val="32"/>
        </w:rPr>
      </w:pPr>
      <w:r>
        <w:rPr>
          <w:rFonts w:hint="eastAsia"/>
          <w:color w:val="0000FF"/>
        </w:rPr>
        <w:t xml:space="preserve">     </w:t>
      </w:r>
      <w:r>
        <w:rPr>
          <w:rFonts w:hint="eastAsia"/>
          <w:color w:val="0000FF"/>
          <w:sz w:val="32"/>
          <w:szCs w:val="32"/>
        </w:rPr>
        <w:t xml:space="preserve"> </w:t>
      </w:r>
      <w:r>
        <w:rPr>
          <w:rFonts w:ascii="仿宋" w:eastAsia="仿宋" w:hAnsi="仿宋" w:hint="eastAsia"/>
          <w:sz w:val="32"/>
          <w:szCs w:val="32"/>
        </w:rPr>
        <w:t>2080504</w:t>
      </w:r>
      <w:r>
        <w:rPr>
          <w:rFonts w:ascii="仿宋" w:eastAsia="仿宋" w:hAnsi="仿宋" w:hint="eastAsia"/>
          <w:sz w:val="32"/>
          <w:szCs w:val="32"/>
        </w:rPr>
        <w:t>未归口管理的行政单位离退休</w:t>
      </w:r>
      <w:r>
        <w:rPr>
          <w:rStyle w:val="a7"/>
          <w:rFonts w:ascii="仿宋" w:eastAsia="仿宋" w:hAnsi="仿宋" w:hint="eastAsia"/>
          <w:b w:val="0"/>
          <w:bCs/>
          <w:sz w:val="32"/>
          <w:szCs w:val="32"/>
        </w:rPr>
        <w:t>支出</w:t>
      </w:r>
      <w:r>
        <w:rPr>
          <w:rStyle w:val="a7"/>
          <w:rFonts w:ascii="仿宋" w:eastAsia="仿宋" w:hAnsi="仿宋" w:hint="eastAsia"/>
          <w:b w:val="0"/>
          <w:bCs/>
          <w:sz w:val="32"/>
          <w:szCs w:val="32"/>
        </w:rPr>
        <w:t>：</w:t>
      </w:r>
      <w:r>
        <w:rPr>
          <w:rFonts w:ascii="仿宋_GB2312" w:eastAsia="仿宋_GB2312" w:hint="eastAsia"/>
          <w:sz w:val="32"/>
          <w:szCs w:val="32"/>
        </w:rPr>
        <w:t>指退休人员退休费；</w:t>
      </w:r>
    </w:p>
    <w:p w:rsidR="009F5036" w:rsidRDefault="009F5036">
      <w:pPr>
        <w:rPr>
          <w:rStyle w:val="a7"/>
          <w:rFonts w:ascii="仿宋" w:eastAsia="仿宋" w:hAnsi="仿宋"/>
          <w:b w:val="0"/>
          <w:bCs/>
          <w:color w:val="0000FF"/>
          <w:sz w:val="32"/>
          <w:szCs w:val="32"/>
        </w:rPr>
      </w:pPr>
    </w:p>
    <w:p w:rsidR="009F5036" w:rsidRDefault="00514D84">
      <w:pPr>
        <w:ind w:firstLine="645"/>
        <w:rPr>
          <w:rFonts w:ascii="仿宋_GB2312" w:eastAsia="仿宋_GB2312"/>
          <w:color w:val="000000" w:themeColor="text1"/>
          <w:sz w:val="32"/>
          <w:szCs w:val="32"/>
        </w:rPr>
      </w:pPr>
      <w:r>
        <w:rPr>
          <w:rStyle w:val="a7"/>
          <w:rFonts w:ascii="仿宋" w:eastAsia="仿宋" w:hAnsi="仿宋" w:hint="eastAsia"/>
          <w:b w:val="0"/>
          <w:bCs/>
          <w:sz w:val="32"/>
          <w:szCs w:val="32"/>
        </w:rPr>
        <w:t>2080505</w:t>
      </w:r>
      <w:r>
        <w:rPr>
          <w:rStyle w:val="a7"/>
          <w:rFonts w:ascii="仿宋" w:eastAsia="仿宋" w:hAnsi="仿宋" w:hint="eastAsia"/>
          <w:b w:val="0"/>
          <w:bCs/>
          <w:sz w:val="32"/>
          <w:szCs w:val="32"/>
        </w:rPr>
        <w:t>机关事业单位基本养老保险缴费支出</w:t>
      </w:r>
      <w:r>
        <w:rPr>
          <w:rFonts w:ascii="仿宋_GB2312" w:eastAsia="仿宋_GB2312" w:hint="eastAsia"/>
          <w:color w:val="0000FF"/>
          <w:sz w:val="32"/>
          <w:szCs w:val="32"/>
        </w:rPr>
        <w:t>：</w:t>
      </w:r>
      <w:r>
        <w:rPr>
          <w:rFonts w:ascii="仿宋_GB2312" w:eastAsia="仿宋_GB2312" w:hint="eastAsia"/>
          <w:color w:val="000000" w:themeColor="text1"/>
          <w:sz w:val="32"/>
          <w:szCs w:val="32"/>
        </w:rPr>
        <w:t>指在职人员养老保险；</w:t>
      </w:r>
    </w:p>
    <w:p w:rsidR="009F5036" w:rsidRDefault="00514D84">
      <w:pPr>
        <w:ind w:firstLineChars="200" w:firstLine="640"/>
        <w:rPr>
          <w:rStyle w:val="a7"/>
          <w:rFonts w:ascii="仿宋" w:eastAsia="仿宋" w:hAnsi="仿宋"/>
          <w:b w:val="0"/>
          <w:bCs/>
          <w:color w:val="000000" w:themeColor="text1"/>
          <w:sz w:val="32"/>
          <w:szCs w:val="32"/>
        </w:rPr>
      </w:pPr>
      <w:r>
        <w:rPr>
          <w:rStyle w:val="a7"/>
          <w:rFonts w:ascii="仿宋" w:eastAsia="仿宋" w:hAnsi="仿宋" w:hint="eastAsia"/>
          <w:b w:val="0"/>
          <w:bCs/>
          <w:sz w:val="32"/>
          <w:szCs w:val="32"/>
        </w:rPr>
        <w:t>2080506</w:t>
      </w:r>
      <w:r>
        <w:rPr>
          <w:rStyle w:val="a7"/>
          <w:rFonts w:ascii="仿宋" w:eastAsia="仿宋" w:hAnsi="仿宋" w:hint="eastAsia"/>
          <w:b w:val="0"/>
          <w:bCs/>
          <w:sz w:val="32"/>
          <w:szCs w:val="32"/>
        </w:rPr>
        <w:t>机关事业单位职业年金缴费支出</w:t>
      </w:r>
      <w:r>
        <w:rPr>
          <w:rFonts w:ascii="仿宋_GB2312" w:eastAsia="仿宋_GB2312" w:hint="eastAsia"/>
          <w:color w:val="0000FF"/>
          <w:sz w:val="32"/>
          <w:szCs w:val="32"/>
        </w:rPr>
        <w:t>：</w:t>
      </w:r>
      <w:r>
        <w:rPr>
          <w:rFonts w:ascii="仿宋_GB2312" w:eastAsia="仿宋_GB2312" w:hint="eastAsia"/>
          <w:color w:val="000000" w:themeColor="text1"/>
          <w:sz w:val="32"/>
          <w:szCs w:val="32"/>
        </w:rPr>
        <w:t>指机关事业单位退休“中人”职业年金做实资金。</w:t>
      </w:r>
    </w:p>
    <w:p w:rsidR="009F5036" w:rsidRDefault="00514D84">
      <w:pPr>
        <w:ind w:firstLine="645"/>
        <w:rPr>
          <w:rStyle w:val="a7"/>
          <w:rFonts w:ascii="仿宋" w:eastAsia="仿宋" w:hAnsi="仿宋"/>
          <w:b w:val="0"/>
          <w:bCs/>
          <w:sz w:val="32"/>
          <w:szCs w:val="32"/>
        </w:rPr>
      </w:pPr>
      <w:r>
        <w:rPr>
          <w:rStyle w:val="a7"/>
          <w:rFonts w:ascii="仿宋" w:eastAsia="仿宋" w:hAnsi="仿宋" w:hint="eastAsia"/>
          <w:b w:val="0"/>
          <w:bCs/>
          <w:sz w:val="32"/>
          <w:szCs w:val="32"/>
        </w:rPr>
        <w:t>2080801</w:t>
      </w:r>
      <w:r>
        <w:rPr>
          <w:rStyle w:val="a7"/>
          <w:rFonts w:ascii="仿宋" w:eastAsia="仿宋" w:hAnsi="仿宋" w:hint="eastAsia"/>
          <w:b w:val="0"/>
          <w:bCs/>
          <w:sz w:val="32"/>
          <w:szCs w:val="32"/>
        </w:rPr>
        <w:t>死亡抚恤：指在职人员陈学英、退休人员陈茂荣一次性抚恤金和丧葬费。</w:t>
      </w:r>
    </w:p>
    <w:p w:rsidR="009F5036" w:rsidRDefault="00514D84">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 xml:space="preserve"> </w:t>
      </w:r>
      <w:r>
        <w:rPr>
          <w:rFonts w:ascii="仿宋_GB2312" w:eastAsia="仿宋_GB2312" w:hint="eastAsia"/>
          <w:sz w:val="32"/>
          <w:szCs w:val="32"/>
        </w:rPr>
        <w:t>医疗卫生与计划生育支出</w:t>
      </w:r>
    </w:p>
    <w:p w:rsidR="009F5036" w:rsidRDefault="00514D84">
      <w:pPr>
        <w:ind w:firstLine="645"/>
        <w:rPr>
          <w:rStyle w:val="a7"/>
          <w:rFonts w:ascii="仿宋" w:eastAsia="仿宋" w:hAnsi="仿宋"/>
          <w:b w:val="0"/>
          <w:bCs/>
          <w:color w:val="000000" w:themeColor="text1"/>
          <w:sz w:val="32"/>
          <w:szCs w:val="32"/>
        </w:rPr>
      </w:pPr>
      <w:r>
        <w:rPr>
          <w:rStyle w:val="a7"/>
          <w:rFonts w:ascii="仿宋" w:eastAsia="仿宋" w:hAnsi="仿宋" w:hint="eastAsia"/>
          <w:b w:val="0"/>
          <w:bCs/>
          <w:color w:val="000000" w:themeColor="text1"/>
          <w:sz w:val="32"/>
          <w:szCs w:val="32"/>
        </w:rPr>
        <w:t>2100199</w:t>
      </w:r>
      <w:r>
        <w:rPr>
          <w:rStyle w:val="a7"/>
          <w:rFonts w:ascii="仿宋" w:eastAsia="仿宋" w:hAnsi="仿宋" w:hint="eastAsia"/>
          <w:b w:val="0"/>
          <w:bCs/>
          <w:color w:val="000000" w:themeColor="text1"/>
          <w:sz w:val="32"/>
          <w:szCs w:val="32"/>
        </w:rPr>
        <w:t>其他医疗卫生与计划生育管理事务支出：指基层医疗卫生机构污水处理设备维护费；</w:t>
      </w:r>
    </w:p>
    <w:p w:rsidR="009F5036" w:rsidRDefault="00514D84">
      <w:pPr>
        <w:ind w:firstLine="645"/>
        <w:rPr>
          <w:rStyle w:val="a7"/>
          <w:rFonts w:ascii="仿宋" w:eastAsia="仿宋" w:hAnsi="仿宋"/>
          <w:b w:val="0"/>
          <w:bCs/>
          <w:color w:val="000000" w:themeColor="text1"/>
          <w:sz w:val="32"/>
          <w:szCs w:val="32"/>
        </w:rPr>
      </w:pPr>
      <w:r>
        <w:rPr>
          <w:rStyle w:val="a7"/>
          <w:rFonts w:ascii="仿宋" w:eastAsia="仿宋" w:hAnsi="仿宋" w:hint="eastAsia"/>
          <w:b w:val="0"/>
          <w:bCs/>
          <w:color w:val="000000" w:themeColor="text1"/>
          <w:sz w:val="32"/>
          <w:szCs w:val="32"/>
        </w:rPr>
        <w:t>2100301</w:t>
      </w:r>
      <w:r>
        <w:rPr>
          <w:rStyle w:val="a7"/>
          <w:rFonts w:ascii="仿宋" w:eastAsia="仿宋" w:hAnsi="仿宋" w:hint="eastAsia"/>
          <w:b w:val="0"/>
          <w:bCs/>
          <w:color w:val="000000" w:themeColor="text1"/>
          <w:sz w:val="32"/>
          <w:szCs w:val="32"/>
        </w:rPr>
        <w:t>城市社区卫生机构：指基层医疗卫生机构人员经费；</w:t>
      </w:r>
    </w:p>
    <w:p w:rsidR="009F5036" w:rsidRDefault="00514D84">
      <w:pPr>
        <w:ind w:firstLine="645"/>
        <w:rPr>
          <w:rStyle w:val="a7"/>
          <w:rFonts w:ascii="仿宋" w:eastAsia="仿宋" w:hAnsi="仿宋"/>
          <w:b w:val="0"/>
          <w:bCs/>
          <w:color w:val="000000" w:themeColor="text1"/>
          <w:sz w:val="32"/>
          <w:szCs w:val="32"/>
        </w:rPr>
      </w:pPr>
      <w:r>
        <w:rPr>
          <w:rStyle w:val="a7"/>
          <w:rFonts w:ascii="仿宋" w:eastAsia="仿宋" w:hAnsi="仿宋" w:hint="eastAsia"/>
          <w:b w:val="0"/>
          <w:bCs/>
          <w:color w:val="000000" w:themeColor="text1"/>
          <w:sz w:val="32"/>
          <w:szCs w:val="32"/>
        </w:rPr>
        <w:t>2100302</w:t>
      </w:r>
      <w:r>
        <w:rPr>
          <w:rStyle w:val="a7"/>
          <w:rFonts w:ascii="仿宋" w:eastAsia="仿宋" w:hAnsi="仿宋" w:hint="eastAsia"/>
          <w:b w:val="0"/>
          <w:bCs/>
          <w:color w:val="000000" w:themeColor="text1"/>
          <w:sz w:val="32"/>
          <w:szCs w:val="32"/>
        </w:rPr>
        <w:t>乡镇卫生院：指乡镇卫生院招聘执业医师项目补助经费；</w:t>
      </w:r>
    </w:p>
    <w:p w:rsidR="009F5036" w:rsidRDefault="00514D84">
      <w:pPr>
        <w:ind w:firstLine="645"/>
        <w:rPr>
          <w:rStyle w:val="a7"/>
          <w:rFonts w:ascii="仿宋" w:eastAsia="仿宋" w:hAnsi="仿宋"/>
          <w:b w:val="0"/>
          <w:bCs/>
          <w:color w:val="000000" w:themeColor="text1"/>
          <w:sz w:val="32"/>
          <w:szCs w:val="32"/>
        </w:rPr>
      </w:pPr>
      <w:r>
        <w:rPr>
          <w:rStyle w:val="a7"/>
          <w:rFonts w:ascii="仿宋" w:eastAsia="仿宋" w:hAnsi="仿宋" w:hint="eastAsia"/>
          <w:b w:val="0"/>
          <w:bCs/>
          <w:color w:val="000000" w:themeColor="text1"/>
          <w:sz w:val="32"/>
          <w:szCs w:val="32"/>
        </w:rPr>
        <w:t>2100399</w:t>
      </w:r>
      <w:r>
        <w:rPr>
          <w:rStyle w:val="a7"/>
          <w:rFonts w:ascii="仿宋" w:eastAsia="仿宋" w:hAnsi="仿宋" w:hint="eastAsia"/>
          <w:b w:val="0"/>
          <w:bCs/>
          <w:color w:val="000000" w:themeColor="text1"/>
          <w:sz w:val="32"/>
          <w:szCs w:val="32"/>
        </w:rPr>
        <w:t>其他基层医疗卫生机构支出：指家庭医生签约服务补助经费、基层医疗卫生机构实施基本药物制度补助资金、村卫生室实施基本药物制度补助资金；</w:t>
      </w:r>
    </w:p>
    <w:p w:rsidR="009F5036" w:rsidRDefault="00514D84">
      <w:pPr>
        <w:ind w:firstLine="645"/>
        <w:rPr>
          <w:rStyle w:val="a7"/>
          <w:rFonts w:ascii="仿宋" w:eastAsia="仿宋" w:hAnsi="仿宋"/>
          <w:b w:val="0"/>
          <w:bCs/>
          <w:color w:val="000000" w:themeColor="text1"/>
          <w:sz w:val="32"/>
          <w:szCs w:val="32"/>
        </w:rPr>
      </w:pPr>
      <w:r>
        <w:rPr>
          <w:rStyle w:val="a7"/>
          <w:rFonts w:ascii="仿宋" w:eastAsia="仿宋" w:hAnsi="仿宋" w:hint="eastAsia"/>
          <w:b w:val="0"/>
          <w:bCs/>
          <w:color w:val="000000" w:themeColor="text1"/>
          <w:sz w:val="32"/>
          <w:szCs w:val="32"/>
        </w:rPr>
        <w:t>2100407</w:t>
      </w:r>
      <w:r>
        <w:rPr>
          <w:rStyle w:val="a7"/>
          <w:rFonts w:ascii="仿宋" w:eastAsia="仿宋" w:hAnsi="仿宋" w:hint="eastAsia"/>
          <w:b w:val="0"/>
          <w:bCs/>
          <w:color w:val="000000" w:themeColor="text1"/>
          <w:sz w:val="32"/>
          <w:szCs w:val="32"/>
        </w:rPr>
        <w:t>其他专业公共卫生机构：指人员经费和公用经费；</w:t>
      </w:r>
    </w:p>
    <w:p w:rsidR="009F5036" w:rsidRDefault="00514D84">
      <w:pPr>
        <w:ind w:firstLine="645"/>
        <w:rPr>
          <w:rStyle w:val="a7"/>
          <w:rFonts w:ascii="仿宋" w:eastAsia="仿宋" w:hAnsi="仿宋"/>
          <w:b w:val="0"/>
          <w:bCs/>
          <w:color w:val="000000" w:themeColor="text1"/>
          <w:sz w:val="32"/>
          <w:szCs w:val="32"/>
        </w:rPr>
      </w:pPr>
      <w:r>
        <w:rPr>
          <w:rStyle w:val="a7"/>
          <w:rFonts w:ascii="仿宋" w:eastAsia="仿宋" w:hAnsi="仿宋" w:hint="eastAsia"/>
          <w:b w:val="0"/>
          <w:bCs/>
          <w:color w:val="000000" w:themeColor="text1"/>
          <w:sz w:val="32"/>
          <w:szCs w:val="32"/>
        </w:rPr>
        <w:t>2100408</w:t>
      </w:r>
      <w:r>
        <w:rPr>
          <w:rStyle w:val="a7"/>
          <w:rFonts w:ascii="仿宋" w:eastAsia="仿宋" w:hAnsi="仿宋" w:hint="eastAsia"/>
          <w:b w:val="0"/>
          <w:bCs/>
          <w:color w:val="000000" w:themeColor="text1"/>
          <w:sz w:val="32"/>
          <w:szCs w:val="32"/>
        </w:rPr>
        <w:t>基本公共卫生服务：指基本公共卫生服务补助资金；</w:t>
      </w:r>
    </w:p>
    <w:p w:rsidR="009F5036" w:rsidRDefault="00514D84">
      <w:pPr>
        <w:ind w:firstLine="645"/>
        <w:rPr>
          <w:rStyle w:val="a7"/>
          <w:rFonts w:ascii="仿宋" w:eastAsia="仿宋" w:hAnsi="仿宋"/>
          <w:b w:val="0"/>
          <w:bCs/>
          <w:color w:val="000000" w:themeColor="text1"/>
          <w:sz w:val="32"/>
          <w:szCs w:val="32"/>
        </w:rPr>
      </w:pPr>
      <w:r>
        <w:rPr>
          <w:rStyle w:val="a7"/>
          <w:rFonts w:ascii="仿宋" w:eastAsia="仿宋" w:hAnsi="仿宋" w:hint="eastAsia"/>
          <w:b w:val="0"/>
          <w:bCs/>
          <w:color w:val="000000" w:themeColor="text1"/>
          <w:sz w:val="32"/>
          <w:szCs w:val="32"/>
        </w:rPr>
        <w:t>2100409</w:t>
      </w:r>
      <w:r>
        <w:rPr>
          <w:rStyle w:val="a7"/>
          <w:rFonts w:ascii="仿宋" w:eastAsia="仿宋" w:hAnsi="仿宋" w:hint="eastAsia"/>
          <w:b w:val="0"/>
          <w:bCs/>
          <w:color w:val="000000" w:themeColor="text1"/>
          <w:sz w:val="32"/>
          <w:szCs w:val="32"/>
        </w:rPr>
        <w:t>重大公共卫生</w:t>
      </w:r>
      <w:r>
        <w:rPr>
          <w:rStyle w:val="a7"/>
          <w:rFonts w:ascii="仿宋" w:eastAsia="仿宋" w:hAnsi="仿宋" w:hint="eastAsia"/>
          <w:b w:val="0"/>
          <w:bCs/>
          <w:color w:val="000000" w:themeColor="text1"/>
          <w:sz w:val="32"/>
          <w:szCs w:val="32"/>
        </w:rPr>
        <w:t>专项：指精神卫生与慢性病防治</w:t>
      </w:r>
      <w:r>
        <w:rPr>
          <w:rStyle w:val="a7"/>
          <w:rFonts w:ascii="仿宋" w:eastAsia="仿宋" w:hAnsi="仿宋" w:hint="eastAsia"/>
          <w:b w:val="0"/>
          <w:bCs/>
          <w:color w:val="000000" w:themeColor="text1"/>
          <w:sz w:val="32"/>
          <w:szCs w:val="32"/>
        </w:rPr>
        <w:lastRenderedPageBreak/>
        <w:t>经费；</w:t>
      </w:r>
    </w:p>
    <w:p w:rsidR="009F5036" w:rsidRDefault="00514D84">
      <w:pPr>
        <w:ind w:firstLine="645"/>
        <w:rPr>
          <w:rStyle w:val="a7"/>
          <w:rFonts w:ascii="仿宋" w:eastAsia="仿宋" w:hAnsi="仿宋"/>
          <w:b w:val="0"/>
          <w:bCs/>
          <w:color w:val="000000" w:themeColor="text1"/>
          <w:sz w:val="32"/>
          <w:szCs w:val="32"/>
        </w:rPr>
      </w:pPr>
      <w:r>
        <w:rPr>
          <w:rStyle w:val="a7"/>
          <w:rFonts w:ascii="仿宋" w:eastAsia="仿宋" w:hAnsi="仿宋" w:hint="eastAsia"/>
          <w:b w:val="0"/>
          <w:bCs/>
          <w:color w:val="000000" w:themeColor="text1"/>
          <w:sz w:val="32"/>
          <w:szCs w:val="32"/>
        </w:rPr>
        <w:t>2100499</w:t>
      </w:r>
      <w:r>
        <w:rPr>
          <w:rStyle w:val="a7"/>
          <w:rFonts w:ascii="仿宋" w:eastAsia="仿宋" w:hAnsi="仿宋" w:hint="eastAsia"/>
          <w:b w:val="0"/>
          <w:bCs/>
          <w:color w:val="000000" w:themeColor="text1"/>
          <w:sz w:val="32"/>
          <w:szCs w:val="32"/>
        </w:rPr>
        <w:t>其他公共卫生卫生支出：指精神卫生补助经费；</w:t>
      </w:r>
    </w:p>
    <w:p w:rsidR="009F5036" w:rsidRDefault="00514D84">
      <w:pPr>
        <w:ind w:firstLine="645"/>
        <w:rPr>
          <w:rStyle w:val="a7"/>
          <w:rFonts w:ascii="仿宋" w:eastAsia="仿宋" w:hAnsi="仿宋"/>
          <w:b w:val="0"/>
          <w:bCs/>
          <w:color w:val="000000" w:themeColor="text1"/>
          <w:sz w:val="32"/>
          <w:szCs w:val="32"/>
        </w:rPr>
      </w:pPr>
      <w:r>
        <w:rPr>
          <w:rStyle w:val="a7"/>
          <w:rFonts w:ascii="仿宋" w:eastAsia="仿宋" w:hAnsi="仿宋" w:hint="eastAsia"/>
          <w:b w:val="0"/>
          <w:bCs/>
          <w:color w:val="000000" w:themeColor="text1"/>
          <w:sz w:val="32"/>
          <w:szCs w:val="32"/>
        </w:rPr>
        <w:t>2100601</w:t>
      </w:r>
      <w:r>
        <w:rPr>
          <w:rStyle w:val="a7"/>
          <w:rFonts w:ascii="仿宋" w:eastAsia="仿宋" w:hAnsi="仿宋" w:hint="eastAsia"/>
          <w:b w:val="0"/>
          <w:bCs/>
          <w:color w:val="000000" w:themeColor="text1"/>
          <w:sz w:val="32"/>
          <w:szCs w:val="32"/>
        </w:rPr>
        <w:t>中医（民族医）药专项：指省级财政中医药发展专项资金；</w:t>
      </w:r>
    </w:p>
    <w:p w:rsidR="009F5036" w:rsidRDefault="00514D84">
      <w:pPr>
        <w:ind w:firstLine="645"/>
        <w:rPr>
          <w:rStyle w:val="a7"/>
          <w:rFonts w:ascii="仿宋" w:eastAsia="仿宋" w:hAnsi="仿宋"/>
          <w:b w:val="0"/>
          <w:bCs/>
          <w:color w:val="000000" w:themeColor="text1"/>
          <w:sz w:val="32"/>
          <w:szCs w:val="32"/>
        </w:rPr>
      </w:pPr>
      <w:r>
        <w:rPr>
          <w:rStyle w:val="a7"/>
          <w:rFonts w:ascii="仿宋" w:eastAsia="仿宋" w:hAnsi="仿宋" w:hint="eastAsia"/>
          <w:b w:val="0"/>
          <w:bCs/>
          <w:color w:val="000000" w:themeColor="text1"/>
          <w:sz w:val="32"/>
          <w:szCs w:val="32"/>
        </w:rPr>
        <w:t>2100699</w:t>
      </w:r>
      <w:r>
        <w:rPr>
          <w:rStyle w:val="a7"/>
          <w:rFonts w:ascii="仿宋" w:eastAsia="仿宋" w:hAnsi="仿宋" w:hint="eastAsia"/>
          <w:b w:val="0"/>
          <w:bCs/>
          <w:color w:val="000000" w:themeColor="text1"/>
          <w:sz w:val="32"/>
          <w:szCs w:val="32"/>
        </w:rPr>
        <w:t>其他中医药支出：指中医药适宜技术推广经费；</w:t>
      </w:r>
    </w:p>
    <w:p w:rsidR="009F5036" w:rsidRDefault="00514D84">
      <w:pPr>
        <w:ind w:firstLine="645"/>
        <w:rPr>
          <w:rStyle w:val="a7"/>
          <w:rFonts w:ascii="仿宋" w:eastAsia="仿宋" w:hAnsi="仿宋"/>
          <w:b w:val="0"/>
          <w:bCs/>
          <w:color w:val="000000" w:themeColor="text1"/>
          <w:sz w:val="32"/>
          <w:szCs w:val="32"/>
        </w:rPr>
      </w:pPr>
      <w:r>
        <w:rPr>
          <w:rStyle w:val="a7"/>
          <w:rFonts w:ascii="仿宋" w:eastAsia="仿宋" w:hAnsi="仿宋" w:hint="eastAsia"/>
          <w:b w:val="0"/>
          <w:bCs/>
          <w:color w:val="000000" w:themeColor="text1"/>
          <w:sz w:val="32"/>
          <w:szCs w:val="32"/>
        </w:rPr>
        <w:t>2101102</w:t>
      </w:r>
      <w:r>
        <w:rPr>
          <w:rStyle w:val="a7"/>
          <w:rFonts w:ascii="仿宋" w:eastAsia="仿宋" w:hAnsi="仿宋" w:hint="eastAsia"/>
          <w:b w:val="0"/>
          <w:bCs/>
          <w:color w:val="000000" w:themeColor="text1"/>
          <w:sz w:val="32"/>
          <w:szCs w:val="32"/>
        </w:rPr>
        <w:t>事业单位医疗：指事业人员医疗保险；</w:t>
      </w:r>
    </w:p>
    <w:p w:rsidR="009F5036" w:rsidRDefault="00514D84">
      <w:pPr>
        <w:ind w:firstLine="645"/>
        <w:rPr>
          <w:rStyle w:val="a7"/>
          <w:rFonts w:ascii="仿宋" w:eastAsia="仿宋" w:hAnsi="仿宋"/>
          <w:b w:val="0"/>
          <w:bCs/>
          <w:color w:val="000000" w:themeColor="text1"/>
          <w:sz w:val="32"/>
          <w:szCs w:val="32"/>
        </w:rPr>
      </w:pPr>
      <w:r>
        <w:rPr>
          <w:rStyle w:val="a7"/>
          <w:rFonts w:ascii="仿宋" w:eastAsia="仿宋" w:hAnsi="仿宋" w:hint="eastAsia"/>
          <w:b w:val="0"/>
          <w:bCs/>
          <w:color w:val="000000" w:themeColor="text1"/>
          <w:sz w:val="32"/>
          <w:szCs w:val="32"/>
        </w:rPr>
        <w:t>2101103</w:t>
      </w:r>
      <w:r>
        <w:rPr>
          <w:rStyle w:val="a7"/>
          <w:rFonts w:ascii="仿宋" w:eastAsia="仿宋" w:hAnsi="仿宋" w:hint="eastAsia"/>
          <w:b w:val="0"/>
          <w:bCs/>
          <w:color w:val="000000" w:themeColor="text1"/>
          <w:sz w:val="32"/>
          <w:szCs w:val="32"/>
        </w:rPr>
        <w:t>公务员医疗补助：指事业人员公务员医疗补助；</w:t>
      </w:r>
    </w:p>
    <w:p w:rsidR="009F5036" w:rsidRDefault="00514D84">
      <w:pPr>
        <w:ind w:firstLine="645"/>
        <w:rPr>
          <w:rStyle w:val="a7"/>
          <w:rFonts w:ascii="仿宋" w:eastAsia="仿宋" w:hAnsi="仿宋"/>
          <w:b w:val="0"/>
          <w:bCs/>
          <w:color w:val="000000" w:themeColor="text1"/>
          <w:sz w:val="32"/>
          <w:szCs w:val="32"/>
        </w:rPr>
      </w:pPr>
      <w:r>
        <w:rPr>
          <w:rStyle w:val="a7"/>
          <w:rFonts w:ascii="仿宋" w:eastAsia="仿宋" w:hAnsi="仿宋" w:hint="eastAsia"/>
          <w:b w:val="0"/>
          <w:bCs/>
          <w:color w:val="000000" w:themeColor="text1"/>
          <w:sz w:val="32"/>
          <w:szCs w:val="32"/>
        </w:rPr>
        <w:t>2109901</w:t>
      </w:r>
      <w:r>
        <w:rPr>
          <w:rStyle w:val="a7"/>
          <w:rFonts w:ascii="仿宋" w:eastAsia="仿宋" w:hAnsi="仿宋" w:hint="eastAsia"/>
          <w:b w:val="0"/>
          <w:bCs/>
          <w:color w:val="000000" w:themeColor="text1"/>
          <w:sz w:val="32"/>
          <w:szCs w:val="32"/>
        </w:rPr>
        <w:t>其他医疗卫生与计划生育支出：指卫生事业专项发展资金。</w:t>
      </w:r>
    </w:p>
    <w:p w:rsidR="009F5036" w:rsidRDefault="00514D84">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住房保障：指行政、事业人员住房公积金。</w:t>
      </w:r>
    </w:p>
    <w:p w:rsidR="009F5036" w:rsidRDefault="00514D84">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12</w:t>
      </w:r>
      <w:r>
        <w:rPr>
          <w:rFonts w:ascii="仿宋_GB2312" w:eastAsia="仿宋_GB2312"/>
          <w:color w:val="000000" w:themeColor="text1"/>
          <w:sz w:val="32"/>
          <w:szCs w:val="32"/>
        </w:rPr>
        <w:t>.</w:t>
      </w:r>
      <w:r>
        <w:rPr>
          <w:rFonts w:ascii="仿宋_GB2312" w:eastAsia="仿宋_GB2312" w:hint="eastAsia"/>
          <w:color w:val="000000" w:themeColor="text1"/>
          <w:sz w:val="32"/>
          <w:szCs w:val="32"/>
        </w:rPr>
        <w:t>基本支出：指为保障机构正常运转、完成日常工作任务而发生的人员支出和公用支出。</w:t>
      </w:r>
    </w:p>
    <w:p w:rsidR="009F5036" w:rsidRDefault="00514D84">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13</w:t>
      </w:r>
      <w:r>
        <w:rPr>
          <w:rFonts w:ascii="仿宋_GB2312" w:eastAsia="仿宋_GB2312"/>
          <w:color w:val="000000" w:themeColor="text1"/>
          <w:sz w:val="32"/>
          <w:szCs w:val="32"/>
        </w:rPr>
        <w:t>.</w:t>
      </w:r>
      <w:r>
        <w:rPr>
          <w:rFonts w:ascii="仿宋_GB2312" w:eastAsia="仿宋_GB2312" w:hint="eastAsia"/>
          <w:color w:val="000000" w:themeColor="text1"/>
          <w:sz w:val="32"/>
          <w:szCs w:val="32"/>
        </w:rPr>
        <w:t>项目支出：指在基本支出之外为完成特定行政任务和事业发展目标所发生的支出。</w:t>
      </w:r>
    </w:p>
    <w:p w:rsidR="009F5036" w:rsidRDefault="00514D84">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14</w:t>
      </w:r>
      <w:r>
        <w:rPr>
          <w:rFonts w:ascii="仿宋_GB2312" w:eastAsia="仿宋_GB2312"/>
          <w:color w:val="000000" w:themeColor="text1"/>
          <w:sz w:val="32"/>
          <w:szCs w:val="32"/>
        </w:rPr>
        <w:t>.</w:t>
      </w:r>
      <w:r>
        <w:rPr>
          <w:rFonts w:ascii="仿宋_GB2312" w:eastAsia="仿宋_GB2312" w:hint="eastAsia"/>
          <w:color w:val="000000" w:themeColor="text1"/>
          <w:sz w:val="32"/>
          <w:szCs w:val="32"/>
        </w:rPr>
        <w:t>经营支出：指事业单位在专业业务活动及其辅助活动之外开展非独立核算经营活动发生的支出。</w:t>
      </w:r>
    </w:p>
    <w:p w:rsidR="009F5036" w:rsidRDefault="00514D8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15</w:t>
      </w:r>
      <w:r>
        <w:rPr>
          <w:rFonts w:ascii="仿宋_GB2312" w:eastAsia="仿宋_GB2312"/>
          <w:color w:val="000000" w:themeColor="text1"/>
          <w:sz w:val="32"/>
          <w:szCs w:val="32"/>
        </w:rPr>
        <w:t>.</w:t>
      </w:r>
      <w:r>
        <w:rPr>
          <w:rFonts w:ascii="仿宋_GB2312" w:eastAsia="仿宋_GB2312" w:hint="eastAsia"/>
          <w:color w:val="000000" w:themeColor="text1"/>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w:t>
      </w:r>
      <w:r>
        <w:rPr>
          <w:rFonts w:ascii="仿宋_GB2312" w:eastAsia="仿宋_GB2312" w:hint="eastAsia"/>
          <w:color w:val="000000" w:themeColor="text1"/>
          <w:sz w:val="32"/>
          <w:szCs w:val="32"/>
        </w:rPr>
        <w:t>购置税）及租用费、燃料费、维修费、过路过桥费、保险费等支出；公务接待费反映单位按规定开支的各类公务接待（含</w:t>
      </w:r>
      <w:r>
        <w:rPr>
          <w:rFonts w:ascii="仿宋_GB2312" w:eastAsia="仿宋_GB2312" w:hint="eastAsia"/>
          <w:color w:val="000000" w:themeColor="text1"/>
          <w:sz w:val="32"/>
          <w:szCs w:val="32"/>
        </w:rPr>
        <w:lastRenderedPageBreak/>
        <w:t>外宾接待）支出。</w:t>
      </w:r>
    </w:p>
    <w:p w:rsidR="009F5036" w:rsidRDefault="00514D8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16</w:t>
      </w:r>
      <w:r>
        <w:rPr>
          <w:rFonts w:ascii="仿宋_GB2312" w:eastAsia="仿宋_GB2312"/>
          <w:color w:val="000000" w:themeColor="text1"/>
          <w:sz w:val="32"/>
          <w:szCs w:val="32"/>
        </w:rPr>
        <w:t>.</w:t>
      </w:r>
      <w:r>
        <w:rPr>
          <w:rFonts w:ascii="仿宋_GB2312" w:eastAsia="仿宋_GB2312" w:hint="eastAsia"/>
          <w:color w:val="000000" w:themeColor="text1"/>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F5036" w:rsidRDefault="00514D84">
      <w:pPr>
        <w:spacing w:line="600" w:lineRule="exact"/>
        <w:jc w:val="center"/>
        <w:outlineLvl w:val="0"/>
        <w:rPr>
          <w:rStyle w:val="10"/>
          <w:rFonts w:ascii="黑体" w:eastAsia="黑体" w:hAnsi="黑体"/>
          <w:b w:val="0"/>
          <w:color w:val="000000" w:themeColor="text1"/>
        </w:rPr>
      </w:pPr>
      <w:bookmarkStart w:id="58" w:name="_Toc15377226"/>
      <w:r>
        <w:rPr>
          <w:rFonts w:ascii="宋体"/>
          <w:b/>
          <w:color w:val="000000" w:themeColor="text1"/>
          <w:sz w:val="44"/>
          <w:szCs w:val="44"/>
        </w:rPr>
        <w:br w:type="page"/>
      </w:r>
      <w:bookmarkStart w:id="59" w:name="_Toc15396614"/>
      <w:r>
        <w:rPr>
          <w:rFonts w:ascii="黑体" w:eastAsia="黑体" w:hAnsi="黑体" w:hint="eastAsia"/>
          <w:color w:val="000000" w:themeColor="text1"/>
          <w:sz w:val="44"/>
          <w:szCs w:val="44"/>
        </w:rPr>
        <w:lastRenderedPageBreak/>
        <w:t>第</w:t>
      </w:r>
      <w:r>
        <w:rPr>
          <w:rStyle w:val="10"/>
          <w:rFonts w:ascii="黑体" w:eastAsia="黑体" w:hAnsi="黑体" w:hint="eastAsia"/>
          <w:b w:val="0"/>
          <w:color w:val="000000" w:themeColor="text1"/>
        </w:rPr>
        <w:t>四部分</w:t>
      </w:r>
      <w:r>
        <w:rPr>
          <w:rStyle w:val="10"/>
          <w:rFonts w:ascii="黑体" w:eastAsia="黑体" w:hAnsi="黑体" w:hint="eastAsia"/>
          <w:b w:val="0"/>
          <w:color w:val="000000" w:themeColor="text1"/>
        </w:rPr>
        <w:t xml:space="preserve"> </w:t>
      </w:r>
      <w:r>
        <w:rPr>
          <w:rStyle w:val="10"/>
          <w:rFonts w:ascii="黑体" w:eastAsia="黑体" w:hAnsi="黑体" w:hint="eastAsia"/>
          <w:b w:val="0"/>
          <w:color w:val="000000" w:themeColor="text1"/>
        </w:rPr>
        <w:t>附件</w:t>
      </w:r>
      <w:bookmarkEnd w:id="59"/>
    </w:p>
    <w:p w:rsidR="009F5036" w:rsidRDefault="009F5036">
      <w:pPr>
        <w:spacing w:line="600" w:lineRule="exact"/>
        <w:jc w:val="center"/>
        <w:outlineLvl w:val="0"/>
        <w:rPr>
          <w:rStyle w:val="10"/>
          <w:color w:val="000000" w:themeColor="text1"/>
        </w:rPr>
      </w:pPr>
    </w:p>
    <w:p w:rsidR="009F5036" w:rsidRDefault="00514D84">
      <w:pPr>
        <w:pStyle w:val="2"/>
        <w:rPr>
          <w:rStyle w:val="10"/>
          <w:rFonts w:ascii="仿宋" w:eastAsia="仿宋" w:hAnsi="仿宋"/>
          <w:color w:val="000000" w:themeColor="text1"/>
          <w:sz w:val="32"/>
          <w:szCs w:val="32"/>
        </w:rPr>
      </w:pPr>
      <w:bookmarkStart w:id="60" w:name="_Toc15396615"/>
      <w:r>
        <w:rPr>
          <w:rStyle w:val="10"/>
          <w:rFonts w:ascii="仿宋" w:eastAsia="仿宋" w:hAnsi="仿宋" w:hint="eastAsia"/>
          <w:color w:val="000000" w:themeColor="text1"/>
          <w:sz w:val="32"/>
          <w:szCs w:val="32"/>
        </w:rPr>
        <w:t>附件</w:t>
      </w:r>
      <w:r>
        <w:rPr>
          <w:rStyle w:val="10"/>
          <w:rFonts w:ascii="仿宋" w:eastAsia="仿宋" w:hAnsi="仿宋" w:hint="eastAsia"/>
          <w:color w:val="000000" w:themeColor="text1"/>
          <w:sz w:val="32"/>
          <w:szCs w:val="32"/>
        </w:rPr>
        <w:t>1</w:t>
      </w:r>
      <w:bookmarkEnd w:id="60"/>
    </w:p>
    <w:p w:rsidR="009F5036" w:rsidRDefault="00514D84">
      <w:pPr>
        <w:spacing w:line="600" w:lineRule="exact"/>
        <w:jc w:val="center"/>
        <w:outlineLvl w:val="0"/>
        <w:rPr>
          <w:rFonts w:ascii="黑体" w:eastAsia="黑体" w:hAnsi="黑体" w:cs="方正小标宋简体"/>
          <w:color w:val="000000" w:themeColor="text1"/>
          <w:sz w:val="36"/>
          <w:szCs w:val="36"/>
        </w:rPr>
      </w:pPr>
      <w:bookmarkStart w:id="61" w:name="_Toc15396616"/>
      <w:r>
        <w:rPr>
          <w:rFonts w:ascii="黑体" w:eastAsia="黑体" w:hAnsi="黑体" w:cs="方正小标宋简体" w:hint="eastAsia"/>
          <w:color w:val="000000" w:themeColor="text1"/>
          <w:sz w:val="36"/>
          <w:szCs w:val="36"/>
        </w:rPr>
        <w:t>西区</w:t>
      </w:r>
      <w:r>
        <w:rPr>
          <w:rFonts w:ascii="黑体" w:eastAsia="黑体" w:hAnsi="黑体" w:cs="方正小标宋简体" w:hint="eastAsia"/>
          <w:color w:val="000000" w:themeColor="text1"/>
          <w:sz w:val="36"/>
          <w:szCs w:val="36"/>
        </w:rPr>
        <w:t>公共卫生管理中心</w:t>
      </w:r>
    </w:p>
    <w:p w:rsidR="009F5036" w:rsidRDefault="00514D84">
      <w:pPr>
        <w:spacing w:line="600" w:lineRule="exact"/>
        <w:jc w:val="center"/>
        <w:outlineLvl w:val="0"/>
        <w:rPr>
          <w:rFonts w:ascii="黑体" w:eastAsia="黑体" w:hAnsi="黑体" w:cs="方正小标宋简体"/>
          <w:color w:val="000000" w:themeColor="text1"/>
          <w:sz w:val="36"/>
          <w:szCs w:val="36"/>
        </w:rPr>
      </w:pPr>
      <w:r>
        <w:rPr>
          <w:rFonts w:ascii="黑体" w:eastAsia="黑体" w:hAnsi="黑体" w:cs="方正小标宋简体" w:hint="eastAsia"/>
          <w:color w:val="000000" w:themeColor="text1"/>
          <w:sz w:val="36"/>
          <w:szCs w:val="36"/>
        </w:rPr>
        <w:t>2018</w:t>
      </w:r>
      <w:r>
        <w:rPr>
          <w:rFonts w:ascii="黑体" w:eastAsia="黑体" w:hAnsi="黑体" w:cs="方正小标宋简体" w:hint="eastAsia"/>
          <w:color w:val="000000" w:themeColor="text1"/>
          <w:sz w:val="36"/>
          <w:szCs w:val="36"/>
        </w:rPr>
        <w:t>年部门整体支出绩效评价报告</w:t>
      </w:r>
      <w:bookmarkEnd w:id="61"/>
    </w:p>
    <w:p w:rsidR="009F5036" w:rsidRDefault="009F5036">
      <w:pPr>
        <w:spacing w:line="580" w:lineRule="exact"/>
        <w:ind w:firstLineChars="200" w:firstLine="640"/>
        <w:rPr>
          <w:rFonts w:ascii="黑体" w:eastAsia="黑体" w:hAnsi="黑体" w:cs="黑体"/>
          <w:color w:val="000000" w:themeColor="text1"/>
          <w:sz w:val="32"/>
          <w:szCs w:val="32"/>
        </w:rPr>
      </w:pPr>
    </w:p>
    <w:p w:rsidR="009F5036" w:rsidRDefault="00514D84">
      <w:pPr>
        <w:spacing w:line="58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一、部门（单位）概况</w:t>
      </w:r>
    </w:p>
    <w:p w:rsidR="009F5036" w:rsidRDefault="00514D84">
      <w:pPr>
        <w:spacing w:line="580" w:lineRule="exact"/>
        <w:ind w:firstLineChars="200" w:firstLine="640"/>
        <w:rPr>
          <w:rFonts w:ascii="仿宋" w:eastAsia="仿宋" w:hAnsi="仿宋" w:cs="仿宋_GB2312"/>
          <w:color w:val="000000" w:themeColor="text1"/>
          <w:sz w:val="32"/>
          <w:szCs w:val="32"/>
        </w:rPr>
      </w:pPr>
      <w:r>
        <w:rPr>
          <w:rFonts w:ascii="仿宋" w:eastAsia="仿宋" w:hAnsi="仿宋" w:cs="仿宋_GB2312"/>
          <w:color w:val="000000" w:themeColor="text1"/>
          <w:sz w:val="32"/>
          <w:szCs w:val="32"/>
        </w:rPr>
        <w:t>（一）机构组成</w:t>
      </w:r>
    </w:p>
    <w:p w:rsidR="009F5036" w:rsidRDefault="00514D84">
      <w:pPr>
        <w:spacing w:line="352" w:lineRule="auto"/>
        <w:ind w:firstLineChars="200" w:firstLine="624"/>
        <w:rPr>
          <w:rFonts w:ascii="仿宋_GB2312" w:eastAsia="仿宋_GB2312"/>
          <w:color w:val="000000" w:themeColor="text1"/>
          <w:sz w:val="32"/>
          <w:szCs w:val="32"/>
        </w:rPr>
      </w:pPr>
      <w:r>
        <w:rPr>
          <w:rFonts w:ascii="仿宋_GB2312" w:eastAsia="仿宋_GB2312" w:hint="eastAsia"/>
          <w:color w:val="000000" w:themeColor="text1"/>
          <w:spacing w:val="-4"/>
          <w:sz w:val="32"/>
          <w:szCs w:val="32"/>
        </w:rPr>
        <w:t>我</w:t>
      </w:r>
      <w:r>
        <w:rPr>
          <w:rFonts w:ascii="仿宋_GB2312" w:eastAsia="仿宋_GB2312" w:hint="eastAsia"/>
          <w:color w:val="000000" w:themeColor="text1"/>
          <w:spacing w:val="-4"/>
          <w:sz w:val="32"/>
          <w:szCs w:val="32"/>
        </w:rPr>
        <w:t>中心核事业编制</w:t>
      </w:r>
      <w:r>
        <w:rPr>
          <w:rFonts w:ascii="仿宋_GB2312" w:eastAsia="仿宋_GB2312" w:hint="eastAsia"/>
          <w:color w:val="000000" w:themeColor="text1"/>
          <w:spacing w:val="-4"/>
          <w:sz w:val="32"/>
          <w:szCs w:val="32"/>
        </w:rPr>
        <w:t>112</w:t>
      </w:r>
      <w:r>
        <w:rPr>
          <w:rFonts w:ascii="仿宋_GB2312" w:eastAsia="仿宋_GB2312" w:hint="eastAsia"/>
          <w:color w:val="000000" w:themeColor="text1"/>
          <w:spacing w:val="-4"/>
          <w:sz w:val="32"/>
          <w:szCs w:val="32"/>
        </w:rPr>
        <w:t>名</w:t>
      </w:r>
      <w:r>
        <w:rPr>
          <w:rFonts w:ascii="仿宋_GB2312" w:eastAsia="仿宋_GB2312" w:hint="eastAsia"/>
          <w:color w:val="000000" w:themeColor="text1"/>
          <w:spacing w:val="-4"/>
          <w:sz w:val="32"/>
          <w:szCs w:val="32"/>
        </w:rPr>
        <w:t>（现实有人数</w:t>
      </w:r>
      <w:r>
        <w:rPr>
          <w:rFonts w:ascii="仿宋_GB2312" w:eastAsia="仿宋_GB2312" w:hint="eastAsia"/>
          <w:color w:val="000000" w:themeColor="text1"/>
          <w:spacing w:val="-4"/>
          <w:sz w:val="32"/>
          <w:szCs w:val="32"/>
        </w:rPr>
        <w:t>19</w:t>
      </w:r>
      <w:r>
        <w:rPr>
          <w:rFonts w:ascii="仿宋_GB2312" w:eastAsia="仿宋_GB2312" w:hint="eastAsia"/>
          <w:color w:val="000000" w:themeColor="text1"/>
          <w:spacing w:val="-4"/>
          <w:sz w:val="32"/>
          <w:szCs w:val="32"/>
        </w:rPr>
        <w:t>名），其中：</w:t>
      </w:r>
      <w:r>
        <w:rPr>
          <w:rFonts w:ascii="仿宋_GB2312" w:eastAsia="仿宋_GB2312" w:hint="eastAsia"/>
          <w:color w:val="000000" w:themeColor="text1"/>
          <w:spacing w:val="-4"/>
          <w:sz w:val="32"/>
          <w:szCs w:val="32"/>
        </w:rPr>
        <w:t>副科级</w:t>
      </w:r>
      <w:r>
        <w:rPr>
          <w:rFonts w:ascii="仿宋_GB2312" w:eastAsia="仿宋_GB2312" w:hint="eastAsia"/>
          <w:color w:val="000000" w:themeColor="text1"/>
          <w:spacing w:val="-4"/>
          <w:sz w:val="32"/>
          <w:szCs w:val="32"/>
        </w:rPr>
        <w:t>1</w:t>
      </w:r>
      <w:r>
        <w:rPr>
          <w:rFonts w:ascii="仿宋_GB2312" w:eastAsia="仿宋_GB2312" w:hint="eastAsia"/>
          <w:color w:val="000000" w:themeColor="text1"/>
          <w:spacing w:val="-4"/>
          <w:sz w:val="32"/>
          <w:szCs w:val="32"/>
        </w:rPr>
        <w:t>名，</w:t>
      </w:r>
      <w:r>
        <w:rPr>
          <w:rFonts w:ascii="仿宋_GB2312" w:eastAsia="仿宋_GB2312" w:hint="eastAsia"/>
          <w:color w:val="000000" w:themeColor="text1"/>
          <w:spacing w:val="-4"/>
          <w:sz w:val="32"/>
          <w:szCs w:val="32"/>
        </w:rPr>
        <w:t>管理岗</w:t>
      </w:r>
      <w:r>
        <w:rPr>
          <w:rFonts w:ascii="仿宋_GB2312" w:eastAsia="仿宋_GB2312" w:hint="eastAsia"/>
          <w:color w:val="000000" w:themeColor="text1"/>
          <w:spacing w:val="-4"/>
          <w:sz w:val="32"/>
          <w:szCs w:val="32"/>
        </w:rPr>
        <w:t>3</w:t>
      </w:r>
      <w:r>
        <w:rPr>
          <w:rFonts w:ascii="仿宋_GB2312" w:eastAsia="仿宋_GB2312" w:hint="eastAsia"/>
          <w:color w:val="000000" w:themeColor="text1"/>
          <w:spacing w:val="-4"/>
          <w:sz w:val="32"/>
          <w:szCs w:val="32"/>
        </w:rPr>
        <w:t>名，专业技术岗</w:t>
      </w:r>
      <w:r>
        <w:rPr>
          <w:rFonts w:ascii="仿宋_GB2312" w:eastAsia="仿宋_GB2312" w:hint="eastAsia"/>
          <w:color w:val="000000" w:themeColor="text1"/>
          <w:spacing w:val="-4"/>
          <w:sz w:val="32"/>
          <w:szCs w:val="32"/>
        </w:rPr>
        <w:t>108</w:t>
      </w:r>
      <w:r>
        <w:rPr>
          <w:rFonts w:ascii="仿宋_GB2312" w:eastAsia="仿宋_GB2312" w:hint="eastAsia"/>
          <w:color w:val="000000" w:themeColor="text1"/>
          <w:spacing w:val="-4"/>
          <w:sz w:val="32"/>
          <w:szCs w:val="32"/>
        </w:rPr>
        <w:t>名</w:t>
      </w:r>
      <w:r>
        <w:rPr>
          <w:rFonts w:ascii="仿宋_GB2312" w:eastAsia="仿宋_GB2312" w:hint="eastAsia"/>
          <w:color w:val="000000" w:themeColor="text1"/>
          <w:sz w:val="32"/>
          <w:szCs w:val="32"/>
        </w:rPr>
        <w:t>。</w:t>
      </w:r>
    </w:p>
    <w:p w:rsidR="009F5036" w:rsidRDefault="00514D84">
      <w:pPr>
        <w:spacing w:line="580" w:lineRule="exact"/>
        <w:ind w:firstLineChars="200" w:firstLine="640"/>
        <w:rPr>
          <w:rFonts w:ascii="仿宋" w:eastAsia="仿宋" w:hAnsi="仿宋" w:cs="仿宋_GB2312"/>
          <w:color w:val="000000" w:themeColor="text1"/>
          <w:sz w:val="32"/>
          <w:szCs w:val="32"/>
        </w:rPr>
      </w:pPr>
      <w:r>
        <w:rPr>
          <w:rFonts w:ascii="仿宋" w:eastAsia="仿宋" w:hAnsi="仿宋" w:cs="仿宋_GB2312"/>
          <w:color w:val="000000" w:themeColor="text1"/>
          <w:sz w:val="32"/>
          <w:szCs w:val="32"/>
        </w:rPr>
        <w:t>（二）机构职能</w:t>
      </w:r>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21"/>
          <w:szCs w:val="21"/>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）负责社区、农村卫生服务体系建设，对社区、农村卫生服务机构的建设项目进行管理。</w:t>
      </w:r>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21"/>
          <w:szCs w:val="21"/>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）负责制定社区、农村卫生建设规划、年度计划，并组织实施。</w:t>
      </w:r>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21"/>
          <w:szCs w:val="21"/>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）负责社区、农村卫生服务标准化、规范化建设与管理，负责社区、农村卫生服务、新农合信息化建设和管理。</w:t>
      </w:r>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21"/>
          <w:szCs w:val="21"/>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）负责对社区、农村卫生服务机构的业务进行指导、检查和管理，并进行年度考核。</w:t>
      </w:r>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21"/>
          <w:szCs w:val="21"/>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）负责探索社区卫生服务机构“收支两条线”“首诊制”“药品零利率”等运行机制体制。</w:t>
      </w:r>
    </w:p>
    <w:p w:rsidR="009F5036" w:rsidRDefault="00514D84">
      <w:pPr>
        <w:snapToGrid w:val="0"/>
        <w:spacing w:line="52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）负责对社区卫生服务机构公共补助经费进行管理</w:t>
      </w:r>
      <w:r>
        <w:rPr>
          <w:rFonts w:ascii="仿宋_GB2312" w:eastAsia="仿宋_GB2312" w:hAnsi="仿宋_GB2312" w:cs="仿宋_GB2312" w:hint="eastAsia"/>
          <w:color w:val="333333"/>
          <w:sz w:val="32"/>
          <w:szCs w:val="32"/>
          <w:shd w:val="clear" w:color="auto" w:fill="FFFFFF"/>
        </w:rPr>
        <w:lastRenderedPageBreak/>
        <w:t>和划拨。</w:t>
      </w:r>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21"/>
          <w:szCs w:val="21"/>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）负责社区</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、农村医务人员的培训考核。</w:t>
      </w:r>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21"/>
          <w:szCs w:val="21"/>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8</w:t>
      </w:r>
      <w:r>
        <w:rPr>
          <w:rFonts w:ascii="仿宋_GB2312" w:eastAsia="仿宋_GB2312" w:hAnsi="仿宋_GB2312" w:cs="仿宋_GB2312" w:hint="eastAsia"/>
          <w:color w:val="333333"/>
          <w:sz w:val="32"/>
          <w:szCs w:val="32"/>
          <w:shd w:val="clear" w:color="auto" w:fill="FFFFFF"/>
        </w:rPr>
        <w:t>）负责公共卫生统计工作。</w:t>
      </w:r>
    </w:p>
    <w:p w:rsidR="009F5036" w:rsidRDefault="00514D84">
      <w:pPr>
        <w:pStyle w:val="a6"/>
        <w:widowControl/>
        <w:shd w:val="clear" w:color="auto" w:fill="FFFFFF"/>
        <w:spacing w:before="0" w:beforeAutospacing="0" w:after="0" w:afterAutospacing="0" w:line="560" w:lineRule="atLeast"/>
        <w:ind w:firstLine="640"/>
        <w:jc w:val="both"/>
        <w:rPr>
          <w:rFonts w:ascii="仿宋_GB2312" w:eastAsia="仿宋_GB2312" w:hAnsi="仿宋_GB2312" w:cs="仿宋_GB2312"/>
          <w:color w:val="333333"/>
          <w:sz w:val="21"/>
          <w:szCs w:val="21"/>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9</w:t>
      </w:r>
      <w:r>
        <w:rPr>
          <w:rFonts w:ascii="仿宋_GB2312" w:eastAsia="仿宋_GB2312" w:hAnsi="仿宋_GB2312" w:cs="仿宋_GB2312" w:hint="eastAsia"/>
          <w:color w:val="333333"/>
          <w:sz w:val="32"/>
          <w:szCs w:val="32"/>
          <w:shd w:val="clear" w:color="auto" w:fill="FFFFFF"/>
        </w:rPr>
        <w:t>）完成区委、政府交办的其它工作。</w:t>
      </w:r>
    </w:p>
    <w:p w:rsidR="009F5036" w:rsidRDefault="00514D84">
      <w:pPr>
        <w:spacing w:line="580" w:lineRule="exact"/>
        <w:ind w:firstLineChars="200" w:firstLine="640"/>
        <w:rPr>
          <w:rFonts w:ascii="仿宋" w:eastAsia="仿宋" w:hAnsi="仿宋" w:cs="仿宋_GB2312"/>
          <w:color w:val="000000" w:themeColor="text1"/>
          <w:sz w:val="32"/>
          <w:szCs w:val="32"/>
        </w:rPr>
      </w:pPr>
      <w:r>
        <w:rPr>
          <w:rFonts w:ascii="仿宋" w:eastAsia="仿宋" w:hAnsi="仿宋" w:cs="仿宋_GB2312"/>
          <w:color w:val="000000" w:themeColor="text1"/>
          <w:sz w:val="32"/>
          <w:szCs w:val="32"/>
        </w:rPr>
        <w:t>（三）人员概况</w:t>
      </w:r>
    </w:p>
    <w:p w:rsidR="009F5036" w:rsidRDefault="00514D84">
      <w:pPr>
        <w:spacing w:line="600" w:lineRule="exact"/>
        <w:ind w:firstLine="630"/>
        <w:rPr>
          <w:rFonts w:ascii="仿宋_GB2312" w:eastAsia="仿宋_GB2312"/>
          <w:color w:val="000000" w:themeColor="text1"/>
          <w:sz w:val="32"/>
          <w:szCs w:val="32"/>
        </w:rPr>
      </w:pPr>
      <w:r>
        <w:rPr>
          <w:rFonts w:ascii="仿宋_GB2312" w:eastAsia="仿宋_GB2312" w:hint="eastAsia"/>
          <w:color w:val="000000" w:themeColor="text1"/>
          <w:sz w:val="32"/>
          <w:szCs w:val="32"/>
        </w:rPr>
        <w:t>截止</w:t>
      </w:r>
      <w:r>
        <w:rPr>
          <w:rFonts w:ascii="仿宋_GB2312" w:eastAsia="仿宋_GB2312"/>
          <w:color w:val="000000" w:themeColor="text1"/>
          <w:sz w:val="32"/>
          <w:szCs w:val="32"/>
        </w:rPr>
        <w:t>2018</w:t>
      </w:r>
      <w:r>
        <w:rPr>
          <w:rFonts w:ascii="仿宋_GB2312" w:eastAsia="仿宋_GB2312" w:hint="eastAsia"/>
          <w:color w:val="000000" w:themeColor="text1"/>
          <w:sz w:val="32"/>
          <w:szCs w:val="32"/>
        </w:rPr>
        <w:t>年</w:t>
      </w:r>
      <w:r>
        <w:rPr>
          <w:rFonts w:ascii="仿宋_GB2312" w:eastAsia="仿宋_GB2312"/>
          <w:color w:val="000000" w:themeColor="text1"/>
          <w:sz w:val="32"/>
          <w:szCs w:val="32"/>
        </w:rPr>
        <w:t>12</w:t>
      </w:r>
      <w:r>
        <w:rPr>
          <w:rFonts w:ascii="仿宋_GB2312" w:eastAsia="仿宋_GB2312" w:hint="eastAsia"/>
          <w:color w:val="000000" w:themeColor="text1"/>
          <w:sz w:val="32"/>
          <w:szCs w:val="32"/>
        </w:rPr>
        <w:t>月，我</w:t>
      </w:r>
      <w:r>
        <w:rPr>
          <w:rFonts w:ascii="仿宋_GB2312" w:eastAsia="仿宋_GB2312" w:hint="eastAsia"/>
          <w:color w:val="000000" w:themeColor="text1"/>
          <w:sz w:val="32"/>
          <w:szCs w:val="32"/>
        </w:rPr>
        <w:t>中心</w:t>
      </w:r>
      <w:r>
        <w:rPr>
          <w:rFonts w:ascii="仿宋_GB2312" w:eastAsia="仿宋_GB2312" w:hint="eastAsia"/>
          <w:color w:val="000000" w:themeColor="text1"/>
          <w:sz w:val="32"/>
          <w:szCs w:val="32"/>
        </w:rPr>
        <w:t>基本情况如下：</w:t>
      </w:r>
      <w:r>
        <w:rPr>
          <w:rFonts w:ascii="仿宋_GB2312" w:eastAsia="仿宋_GB2312" w:hint="eastAsia"/>
          <w:color w:val="000000" w:themeColor="text1"/>
          <w:sz w:val="32"/>
          <w:szCs w:val="32"/>
        </w:rPr>
        <w:t>事业编制</w:t>
      </w:r>
      <w:r>
        <w:rPr>
          <w:rFonts w:ascii="仿宋_GB2312" w:eastAsia="仿宋_GB2312" w:hint="eastAsia"/>
          <w:color w:val="000000" w:themeColor="text1"/>
          <w:sz w:val="32"/>
          <w:szCs w:val="32"/>
        </w:rPr>
        <w:t>112</w:t>
      </w:r>
      <w:r>
        <w:rPr>
          <w:rFonts w:ascii="仿宋_GB2312" w:eastAsia="仿宋_GB2312" w:hint="eastAsia"/>
          <w:color w:val="000000" w:themeColor="text1"/>
          <w:sz w:val="32"/>
          <w:szCs w:val="32"/>
        </w:rPr>
        <w:t>人，实有</w:t>
      </w:r>
      <w:r>
        <w:rPr>
          <w:rFonts w:ascii="仿宋_GB2312" w:eastAsia="仿宋_GB2312" w:hint="eastAsia"/>
          <w:color w:val="000000" w:themeColor="text1"/>
          <w:sz w:val="32"/>
          <w:szCs w:val="32"/>
        </w:rPr>
        <w:t>19</w:t>
      </w:r>
      <w:r>
        <w:rPr>
          <w:rFonts w:ascii="仿宋_GB2312" w:eastAsia="仿宋_GB2312" w:hint="eastAsia"/>
          <w:color w:val="000000" w:themeColor="text1"/>
          <w:sz w:val="32"/>
          <w:szCs w:val="32"/>
        </w:rPr>
        <w:t>人。</w:t>
      </w:r>
    </w:p>
    <w:p w:rsidR="009F5036" w:rsidRDefault="00514D84">
      <w:pPr>
        <w:spacing w:line="580" w:lineRule="exact"/>
        <w:ind w:firstLineChars="200" w:firstLine="640"/>
        <w:rPr>
          <w:rFonts w:ascii="黑体" w:eastAsia="黑体" w:hAnsi="黑体" w:cs="黑体"/>
          <w:color w:val="000000" w:themeColor="text1"/>
          <w:sz w:val="32"/>
          <w:szCs w:val="32"/>
        </w:rPr>
      </w:pPr>
      <w:r>
        <w:rPr>
          <w:rFonts w:ascii="黑体" w:eastAsia="黑体" w:hAnsi="黑体" w:cs="黑体"/>
          <w:color w:val="000000" w:themeColor="text1"/>
          <w:sz w:val="32"/>
          <w:szCs w:val="32"/>
        </w:rPr>
        <w:t>二、部门财政资金收支情况</w:t>
      </w:r>
    </w:p>
    <w:p w:rsidR="009F5036" w:rsidRDefault="00514D84">
      <w:pPr>
        <w:spacing w:line="580" w:lineRule="exact"/>
        <w:ind w:firstLineChars="200" w:firstLine="640"/>
        <w:rPr>
          <w:rFonts w:ascii="仿宋" w:eastAsia="仿宋" w:hAnsi="仿宋" w:cs="仿宋_GB2312"/>
          <w:color w:val="000000" w:themeColor="text1"/>
          <w:sz w:val="32"/>
          <w:szCs w:val="32"/>
        </w:rPr>
      </w:pPr>
      <w:r>
        <w:rPr>
          <w:rFonts w:ascii="仿宋" w:eastAsia="仿宋" w:hAnsi="仿宋" w:cs="仿宋_GB2312"/>
          <w:color w:val="000000" w:themeColor="text1"/>
          <w:sz w:val="32"/>
          <w:szCs w:val="32"/>
        </w:rPr>
        <w:t>（一）部门财政资金收入情况</w:t>
      </w:r>
    </w:p>
    <w:p w:rsidR="009F5036" w:rsidRDefault="00514D84">
      <w:pPr>
        <w:spacing w:line="353" w:lineRule="auto"/>
        <w:ind w:firstLineChars="200" w:firstLine="640"/>
        <w:jc w:val="left"/>
        <w:rPr>
          <w:rFonts w:ascii="仿宋_GB2312" w:eastAsia="仿宋_GB2312"/>
          <w:color w:val="000000" w:themeColor="text1"/>
          <w:sz w:val="32"/>
          <w:szCs w:val="32"/>
        </w:rPr>
      </w:pPr>
      <w:r>
        <w:rPr>
          <w:rFonts w:ascii="仿宋_GB2312" w:eastAsia="仿宋_GB2312"/>
          <w:color w:val="000000" w:themeColor="text1"/>
          <w:sz w:val="32"/>
          <w:szCs w:val="32"/>
        </w:rPr>
        <w:t>2018</w:t>
      </w:r>
      <w:r>
        <w:rPr>
          <w:rFonts w:ascii="仿宋_GB2312" w:eastAsia="仿宋_GB2312" w:hint="eastAsia"/>
          <w:color w:val="000000" w:themeColor="text1"/>
          <w:sz w:val="32"/>
          <w:szCs w:val="32"/>
        </w:rPr>
        <w:t>年部门预算总收入</w:t>
      </w:r>
      <w:r>
        <w:rPr>
          <w:rFonts w:ascii="仿宋_GB2312" w:eastAsia="仿宋_GB2312" w:hint="eastAsia"/>
          <w:color w:val="000000" w:themeColor="text1"/>
          <w:sz w:val="32"/>
          <w:szCs w:val="32"/>
        </w:rPr>
        <w:t>660.36</w:t>
      </w:r>
      <w:r>
        <w:rPr>
          <w:rFonts w:ascii="仿宋_GB2312" w:eastAsia="仿宋_GB2312" w:hint="eastAsia"/>
          <w:color w:val="000000" w:themeColor="text1"/>
          <w:sz w:val="32"/>
          <w:szCs w:val="32"/>
        </w:rPr>
        <w:t>万元。</w:t>
      </w:r>
    </w:p>
    <w:p w:rsidR="009F5036" w:rsidRDefault="00514D84">
      <w:pPr>
        <w:spacing w:line="580" w:lineRule="exact"/>
        <w:ind w:firstLineChars="200" w:firstLine="640"/>
        <w:rPr>
          <w:rFonts w:ascii="仿宋" w:eastAsia="仿宋" w:hAnsi="仿宋" w:cs="仿宋_GB2312"/>
          <w:color w:val="000000" w:themeColor="text1"/>
          <w:sz w:val="32"/>
          <w:szCs w:val="32"/>
        </w:rPr>
      </w:pPr>
      <w:r>
        <w:rPr>
          <w:rFonts w:ascii="仿宋" w:eastAsia="仿宋" w:hAnsi="仿宋" w:cs="仿宋_GB2312"/>
          <w:color w:val="000000" w:themeColor="text1"/>
          <w:sz w:val="32"/>
          <w:szCs w:val="32"/>
        </w:rPr>
        <w:t>（二）部门财政资金支出情况</w:t>
      </w:r>
    </w:p>
    <w:p w:rsidR="009F5036" w:rsidRDefault="00514D84">
      <w:pPr>
        <w:spacing w:line="580" w:lineRule="exact"/>
        <w:ind w:firstLineChars="200" w:firstLine="640"/>
        <w:rPr>
          <w:rFonts w:ascii="仿宋" w:eastAsia="仿宋" w:hAnsi="仿宋" w:cs="仿宋_GB2312"/>
          <w:color w:val="000000" w:themeColor="text1"/>
          <w:sz w:val="32"/>
          <w:szCs w:val="32"/>
        </w:rPr>
      </w:pPr>
      <w:r>
        <w:rPr>
          <w:rFonts w:ascii="仿宋_GB2312" w:eastAsia="仿宋_GB2312" w:hint="eastAsia"/>
          <w:color w:val="000000" w:themeColor="text1"/>
          <w:sz w:val="32"/>
          <w:szCs w:val="32"/>
        </w:rPr>
        <w:t>工资福利支出</w:t>
      </w:r>
      <w:r>
        <w:rPr>
          <w:rFonts w:ascii="仿宋_GB2312" w:eastAsia="仿宋_GB2312" w:hint="eastAsia"/>
          <w:color w:val="000000" w:themeColor="text1"/>
          <w:sz w:val="32"/>
          <w:szCs w:val="32"/>
        </w:rPr>
        <w:t>243.95</w:t>
      </w:r>
      <w:r>
        <w:rPr>
          <w:rFonts w:ascii="仿宋_GB2312" w:eastAsia="仿宋_GB2312" w:hint="eastAsia"/>
          <w:color w:val="000000" w:themeColor="text1"/>
          <w:sz w:val="32"/>
          <w:szCs w:val="32"/>
        </w:rPr>
        <w:t>万元，日常公用支出</w:t>
      </w:r>
      <w:r>
        <w:rPr>
          <w:rFonts w:ascii="仿宋_GB2312" w:eastAsia="仿宋_GB2312" w:hint="eastAsia"/>
          <w:color w:val="000000" w:themeColor="text1"/>
          <w:sz w:val="32"/>
          <w:szCs w:val="32"/>
        </w:rPr>
        <w:t>13.49</w:t>
      </w:r>
      <w:r>
        <w:rPr>
          <w:rFonts w:ascii="仿宋_GB2312" w:eastAsia="仿宋_GB2312" w:hint="eastAsia"/>
          <w:color w:val="000000" w:themeColor="text1"/>
          <w:sz w:val="32"/>
          <w:szCs w:val="32"/>
        </w:rPr>
        <w:t>万元，对个人及家庭补助支出</w:t>
      </w:r>
      <w:r>
        <w:rPr>
          <w:rFonts w:ascii="仿宋_GB2312" w:eastAsia="仿宋_GB2312" w:hint="eastAsia"/>
          <w:color w:val="000000" w:themeColor="text1"/>
          <w:sz w:val="32"/>
          <w:szCs w:val="32"/>
        </w:rPr>
        <w:t>4.62</w:t>
      </w:r>
      <w:r>
        <w:rPr>
          <w:rFonts w:ascii="仿宋_GB2312" w:eastAsia="仿宋_GB2312" w:hint="eastAsia"/>
          <w:color w:val="000000" w:themeColor="text1"/>
          <w:sz w:val="32"/>
          <w:szCs w:val="32"/>
        </w:rPr>
        <w:t>万元，项目支出</w:t>
      </w:r>
      <w:r>
        <w:rPr>
          <w:rFonts w:ascii="仿宋_GB2312" w:eastAsia="仿宋_GB2312" w:hint="eastAsia"/>
          <w:color w:val="000000" w:themeColor="text1"/>
          <w:sz w:val="32"/>
          <w:szCs w:val="32"/>
        </w:rPr>
        <w:t>398.3</w:t>
      </w:r>
      <w:r>
        <w:rPr>
          <w:rFonts w:ascii="仿宋_GB2312" w:eastAsia="仿宋_GB2312" w:hint="eastAsia"/>
          <w:color w:val="000000" w:themeColor="text1"/>
          <w:sz w:val="32"/>
          <w:szCs w:val="32"/>
        </w:rPr>
        <w:t>万元。</w:t>
      </w:r>
    </w:p>
    <w:p w:rsidR="009F5036" w:rsidRDefault="00514D84">
      <w:pPr>
        <w:spacing w:line="580" w:lineRule="exact"/>
        <w:ind w:firstLineChars="200" w:firstLine="640"/>
        <w:rPr>
          <w:rFonts w:ascii="黑体" w:eastAsia="黑体" w:hAnsi="黑体" w:cs="黑体"/>
          <w:color w:val="000000" w:themeColor="text1"/>
          <w:sz w:val="32"/>
          <w:szCs w:val="32"/>
        </w:rPr>
      </w:pPr>
      <w:r>
        <w:rPr>
          <w:rFonts w:ascii="黑体" w:eastAsia="黑体" w:hAnsi="黑体" w:cs="黑体"/>
          <w:color w:val="000000" w:themeColor="text1"/>
          <w:sz w:val="32"/>
          <w:szCs w:val="32"/>
        </w:rPr>
        <w:t>三、部门整体预算绩效管理情况</w:t>
      </w:r>
    </w:p>
    <w:p w:rsidR="009F5036" w:rsidRDefault="00514D84">
      <w:pPr>
        <w:widowControl/>
        <w:shd w:val="clear" w:color="auto" w:fill="FFFFFF"/>
        <w:spacing w:line="450" w:lineRule="atLeast"/>
        <w:ind w:firstLineChars="200" w:firstLine="640"/>
        <w:jc w:val="left"/>
        <w:rPr>
          <w:rFonts w:ascii="仿宋" w:eastAsia="仿宋" w:hAnsi="仿宋" w:cs="仿宋_GB2312"/>
          <w:color w:val="000000" w:themeColor="text1"/>
          <w:sz w:val="32"/>
          <w:szCs w:val="32"/>
        </w:rPr>
      </w:pPr>
      <w:r>
        <w:rPr>
          <w:rFonts w:ascii="仿宋" w:eastAsia="仿宋" w:hAnsi="仿宋" w:cs="仿宋_GB2312"/>
          <w:color w:val="000000" w:themeColor="text1"/>
          <w:sz w:val="32"/>
          <w:szCs w:val="32"/>
        </w:rPr>
        <w:t>项目预算资金科学合理</w:t>
      </w:r>
      <w:r>
        <w:rPr>
          <w:rFonts w:ascii="仿宋" w:eastAsia="仿宋" w:hAnsi="仿宋" w:cs="仿宋_GB2312" w:hint="eastAsia"/>
          <w:color w:val="000000" w:themeColor="text1"/>
          <w:sz w:val="32"/>
          <w:szCs w:val="32"/>
        </w:rPr>
        <w:t>；</w:t>
      </w:r>
      <w:r>
        <w:rPr>
          <w:rFonts w:ascii="仿宋" w:eastAsia="仿宋" w:hAnsi="仿宋" w:cs="仿宋_GB2312"/>
          <w:color w:val="000000" w:themeColor="text1"/>
          <w:sz w:val="32"/>
          <w:szCs w:val="32"/>
        </w:rPr>
        <w:t>财政资金拨付到位</w:t>
      </w:r>
      <w:r>
        <w:rPr>
          <w:rFonts w:ascii="仿宋" w:eastAsia="仿宋" w:hAnsi="仿宋" w:cs="仿宋_GB2312" w:hint="eastAsia"/>
          <w:color w:val="000000" w:themeColor="text1"/>
          <w:sz w:val="32"/>
          <w:szCs w:val="32"/>
        </w:rPr>
        <w:t>基本</w:t>
      </w:r>
      <w:r>
        <w:rPr>
          <w:rFonts w:ascii="仿宋" w:eastAsia="仿宋" w:hAnsi="仿宋" w:cs="仿宋_GB2312"/>
          <w:color w:val="000000" w:themeColor="text1"/>
          <w:sz w:val="32"/>
          <w:szCs w:val="32"/>
        </w:rPr>
        <w:t>及时</w:t>
      </w:r>
      <w:r>
        <w:rPr>
          <w:rFonts w:ascii="仿宋" w:eastAsia="仿宋" w:hAnsi="仿宋" w:cs="仿宋_GB2312" w:hint="eastAsia"/>
          <w:color w:val="000000" w:themeColor="text1"/>
          <w:sz w:val="32"/>
          <w:szCs w:val="32"/>
        </w:rPr>
        <w:t>；</w:t>
      </w:r>
      <w:r>
        <w:rPr>
          <w:rFonts w:ascii="仿宋" w:eastAsia="仿宋" w:hAnsi="仿宋" w:cs="仿宋_GB2312"/>
          <w:color w:val="000000" w:themeColor="text1"/>
          <w:sz w:val="32"/>
          <w:szCs w:val="32"/>
        </w:rPr>
        <w:t>已建立项目管理制度并按照项目管理制度要求执行</w:t>
      </w:r>
      <w:r>
        <w:rPr>
          <w:rFonts w:ascii="仿宋" w:eastAsia="仿宋" w:hAnsi="仿宋" w:cs="仿宋_GB2312" w:hint="eastAsia"/>
          <w:color w:val="000000" w:themeColor="text1"/>
          <w:sz w:val="32"/>
          <w:szCs w:val="32"/>
        </w:rPr>
        <w:t>；</w:t>
      </w:r>
      <w:r>
        <w:rPr>
          <w:rFonts w:ascii="仿宋" w:eastAsia="仿宋" w:hAnsi="仿宋" w:cs="仿宋_GB2312"/>
          <w:color w:val="000000" w:themeColor="text1"/>
          <w:sz w:val="32"/>
          <w:szCs w:val="32"/>
        </w:rPr>
        <w:t>按期保质保量完成</w:t>
      </w:r>
      <w:r>
        <w:rPr>
          <w:rFonts w:ascii="仿宋" w:eastAsia="仿宋" w:hAnsi="仿宋" w:cs="仿宋_GB2312" w:hint="eastAsia"/>
          <w:color w:val="000000" w:themeColor="text1"/>
          <w:sz w:val="32"/>
          <w:szCs w:val="32"/>
        </w:rPr>
        <w:t>各项工作任务。</w:t>
      </w:r>
    </w:p>
    <w:p w:rsidR="009F5036" w:rsidRDefault="00514D84">
      <w:pPr>
        <w:spacing w:line="580" w:lineRule="exact"/>
        <w:ind w:firstLineChars="200" w:firstLine="640"/>
        <w:rPr>
          <w:rFonts w:ascii="黑体" w:eastAsia="黑体" w:hAnsi="黑体" w:cs="黑体"/>
          <w:color w:val="000000" w:themeColor="text1"/>
          <w:sz w:val="32"/>
          <w:szCs w:val="32"/>
        </w:rPr>
      </w:pPr>
      <w:r>
        <w:rPr>
          <w:rFonts w:ascii="黑体" w:eastAsia="黑体" w:hAnsi="黑体" w:cs="黑体"/>
          <w:color w:val="000000" w:themeColor="text1"/>
          <w:sz w:val="32"/>
          <w:szCs w:val="32"/>
        </w:rPr>
        <w:t>四、评价结论及建议</w:t>
      </w:r>
    </w:p>
    <w:p w:rsidR="009F5036" w:rsidRDefault="00514D84">
      <w:pPr>
        <w:spacing w:line="580" w:lineRule="exact"/>
        <w:ind w:firstLineChars="200" w:firstLine="640"/>
        <w:rPr>
          <w:rFonts w:ascii="仿宋" w:eastAsia="仿宋" w:hAnsi="仿宋" w:cs="仿宋_GB2312"/>
          <w:color w:val="000000" w:themeColor="text1"/>
          <w:sz w:val="32"/>
          <w:szCs w:val="32"/>
        </w:rPr>
      </w:pPr>
      <w:r>
        <w:rPr>
          <w:rFonts w:ascii="仿宋" w:eastAsia="仿宋" w:hAnsi="仿宋" w:cs="仿宋_GB2312"/>
          <w:color w:val="000000" w:themeColor="text1"/>
          <w:sz w:val="32"/>
          <w:szCs w:val="32"/>
        </w:rPr>
        <w:t>（一）评价结论</w:t>
      </w:r>
    </w:p>
    <w:p w:rsidR="009F5036" w:rsidRDefault="00514D84">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基本药物：</w:t>
      </w:r>
      <w:r>
        <w:rPr>
          <w:rFonts w:ascii="仿宋_GB2312" w:eastAsia="仿宋_GB2312" w:hAnsi="Calibri" w:cs="仿宋_GB2312" w:hint="eastAsia"/>
          <w:kern w:val="0"/>
          <w:sz w:val="32"/>
          <w:szCs w:val="32"/>
        </w:rPr>
        <w:t>截至</w:t>
      </w:r>
      <w:r>
        <w:rPr>
          <w:rFonts w:ascii="仿宋_GB2312" w:eastAsia="仿宋_GB2312" w:hAnsi="Calibri" w:cs="仿宋_GB2312" w:hint="eastAsia"/>
          <w:kern w:val="0"/>
          <w:sz w:val="32"/>
          <w:szCs w:val="32"/>
        </w:rPr>
        <w:t>2018</w:t>
      </w:r>
      <w:r>
        <w:rPr>
          <w:rFonts w:ascii="仿宋_GB2312" w:eastAsia="仿宋_GB2312" w:hAnsi="Calibri" w:cs="仿宋_GB2312" w:hint="eastAsia"/>
          <w:kern w:val="0"/>
          <w:sz w:val="32"/>
          <w:szCs w:val="32"/>
        </w:rPr>
        <w:t>年</w:t>
      </w:r>
      <w:r>
        <w:rPr>
          <w:rFonts w:ascii="仿宋_GB2312" w:eastAsia="仿宋_GB2312" w:hAnsi="Calibri" w:cs="仿宋_GB2312" w:hint="eastAsia"/>
          <w:kern w:val="0"/>
          <w:sz w:val="32"/>
          <w:szCs w:val="32"/>
        </w:rPr>
        <w:t>12</w:t>
      </w:r>
      <w:r>
        <w:rPr>
          <w:rFonts w:ascii="仿宋_GB2312" w:eastAsia="仿宋_GB2312" w:hAnsi="Calibri" w:cs="仿宋_GB2312" w:hint="eastAsia"/>
          <w:kern w:val="0"/>
          <w:sz w:val="32"/>
          <w:szCs w:val="32"/>
        </w:rPr>
        <w:t>月底共让利群众</w:t>
      </w:r>
      <w:r>
        <w:rPr>
          <w:rFonts w:ascii="仿宋_GB2312" w:eastAsia="仿宋_GB2312" w:hAnsi="Calibri" w:cs="仿宋_GB2312" w:hint="eastAsia"/>
          <w:kern w:val="0"/>
          <w:sz w:val="32"/>
          <w:szCs w:val="32"/>
        </w:rPr>
        <w:t>209.96</w:t>
      </w:r>
      <w:r>
        <w:rPr>
          <w:rFonts w:ascii="仿宋_GB2312" w:eastAsia="仿宋_GB2312" w:hAnsi="Calibri" w:cs="仿宋_GB2312" w:hint="eastAsia"/>
          <w:kern w:val="0"/>
          <w:sz w:val="32"/>
          <w:szCs w:val="32"/>
        </w:rPr>
        <w:t>万元，群众深切体会到了制度实施带来的实惠。</w:t>
      </w:r>
    </w:p>
    <w:p w:rsidR="009F5036" w:rsidRDefault="00514D84">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基本公共卫生服务：</w:t>
      </w:r>
      <w:r>
        <w:rPr>
          <w:rFonts w:eastAsia="仿宋_GB2312" w:hint="eastAsia"/>
          <w:kern w:val="0"/>
          <w:sz w:val="32"/>
          <w:szCs w:val="32"/>
        </w:rPr>
        <w:t>14</w:t>
      </w:r>
      <w:r>
        <w:rPr>
          <w:rFonts w:eastAsia="仿宋_GB2312" w:hint="eastAsia"/>
          <w:kern w:val="0"/>
          <w:sz w:val="32"/>
          <w:szCs w:val="32"/>
        </w:rPr>
        <w:t>项</w:t>
      </w:r>
      <w:r>
        <w:rPr>
          <w:rFonts w:eastAsia="仿宋_GB2312" w:hint="eastAsia"/>
          <w:kern w:val="0"/>
          <w:sz w:val="32"/>
          <w:szCs w:val="32"/>
        </w:rPr>
        <w:t>基本公共卫生服务项目按照目标任务顺利推进。</w:t>
      </w:r>
    </w:p>
    <w:p w:rsidR="009F5036" w:rsidRDefault="00514D84">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lastRenderedPageBreak/>
        <w:t>（二）存在的问题</w:t>
      </w:r>
      <w:r>
        <w:rPr>
          <w:rFonts w:eastAsia="楷体_GB2312" w:hint="eastAsia"/>
          <w:kern w:val="0"/>
          <w:sz w:val="32"/>
          <w:szCs w:val="32"/>
        </w:rPr>
        <w:t>及建议</w:t>
      </w:r>
      <w:r>
        <w:rPr>
          <w:rFonts w:eastAsia="楷体_GB2312"/>
          <w:kern w:val="0"/>
          <w:sz w:val="32"/>
          <w:szCs w:val="32"/>
        </w:rPr>
        <w:t>。</w:t>
      </w:r>
    </w:p>
    <w:p w:rsidR="009F5036" w:rsidRDefault="00514D84">
      <w:pPr>
        <w:autoSpaceDE w:val="0"/>
        <w:autoSpaceDN w:val="0"/>
        <w:adjustRightInd w:val="0"/>
        <w:spacing w:line="560" w:lineRule="exact"/>
        <w:ind w:firstLineChars="200" w:firstLine="640"/>
        <w:jc w:val="left"/>
        <w:rPr>
          <w:rFonts w:ascii="仿宋" w:eastAsia="仿宋" w:hAnsi="仿宋" w:cs="仿宋_GB2312"/>
          <w:color w:val="0000FF"/>
          <w:sz w:val="32"/>
          <w:szCs w:val="32"/>
        </w:rPr>
      </w:pPr>
      <w:r>
        <w:rPr>
          <w:rFonts w:ascii="仿宋_GB2312" w:eastAsia="仿宋_GB2312" w:cs="仿宋_GB2312" w:hint="eastAsia"/>
          <w:kern w:val="0"/>
          <w:sz w:val="32"/>
          <w:szCs w:val="32"/>
        </w:rPr>
        <w:t>建议基本公共卫生服务项目资金拓宽使用范围。</w:t>
      </w:r>
    </w:p>
    <w:p w:rsidR="009F5036" w:rsidRDefault="009F5036">
      <w:pPr>
        <w:spacing w:line="580" w:lineRule="exact"/>
        <w:ind w:firstLineChars="200" w:firstLine="640"/>
        <w:rPr>
          <w:rFonts w:ascii="仿宋_GB2312" w:eastAsia="仿宋_GB2312" w:hAnsi="仿宋_GB2312" w:cs="仿宋_GB2312"/>
          <w:color w:val="0000FF"/>
          <w:sz w:val="32"/>
          <w:szCs w:val="32"/>
        </w:rPr>
      </w:pPr>
    </w:p>
    <w:p w:rsidR="009F5036" w:rsidRDefault="00514D84">
      <w:pPr>
        <w:widowControl/>
        <w:jc w:val="left"/>
        <w:rPr>
          <w:rStyle w:val="10"/>
          <w:rFonts w:ascii="仿宋" w:eastAsia="仿宋" w:hAnsi="仿宋"/>
          <w:color w:val="000000" w:themeColor="text1"/>
          <w:sz w:val="32"/>
          <w:szCs w:val="32"/>
        </w:rPr>
      </w:pPr>
      <w:r>
        <w:rPr>
          <w:rFonts w:ascii="仿宋_GB2312" w:eastAsia="仿宋_GB2312" w:hAnsi="仿宋_GB2312" w:cs="仿宋_GB2312"/>
          <w:color w:val="0000FF"/>
        </w:rPr>
        <w:br w:type="page"/>
      </w:r>
      <w:bookmarkStart w:id="62" w:name="_Toc15396617"/>
      <w:r>
        <w:rPr>
          <w:rStyle w:val="10"/>
          <w:rFonts w:ascii="仿宋" w:eastAsia="仿宋" w:hAnsi="仿宋" w:hint="eastAsia"/>
          <w:color w:val="000000" w:themeColor="text1"/>
          <w:sz w:val="32"/>
          <w:szCs w:val="32"/>
        </w:rPr>
        <w:lastRenderedPageBreak/>
        <w:t>附件</w:t>
      </w:r>
      <w:r>
        <w:rPr>
          <w:rStyle w:val="10"/>
          <w:rFonts w:ascii="仿宋" w:eastAsia="仿宋" w:hAnsi="仿宋" w:hint="eastAsia"/>
          <w:color w:val="000000" w:themeColor="text1"/>
          <w:sz w:val="32"/>
          <w:szCs w:val="32"/>
        </w:rPr>
        <w:t>2</w:t>
      </w:r>
      <w:bookmarkEnd w:id="62"/>
    </w:p>
    <w:p w:rsidR="009F5036" w:rsidRDefault="00514D84">
      <w:pPr>
        <w:spacing w:line="580" w:lineRule="exact"/>
        <w:jc w:val="center"/>
        <w:rPr>
          <w:rFonts w:ascii="黑体" w:eastAsia="黑体" w:hAnsi="黑体" w:cs="方正小标宋简体"/>
          <w:color w:val="000000" w:themeColor="text1"/>
          <w:sz w:val="44"/>
          <w:szCs w:val="44"/>
        </w:rPr>
      </w:pPr>
      <w:r>
        <w:rPr>
          <w:rFonts w:ascii="黑体" w:eastAsia="黑体" w:hAnsi="黑体" w:cs="方正小标宋简体" w:hint="eastAsia"/>
          <w:color w:val="000000" w:themeColor="text1"/>
          <w:sz w:val="44"/>
          <w:szCs w:val="44"/>
        </w:rPr>
        <w:t>2018</w:t>
      </w:r>
      <w:r>
        <w:rPr>
          <w:rFonts w:ascii="黑体" w:eastAsia="黑体" w:hAnsi="黑体" w:cs="方正小标宋简体" w:hint="eastAsia"/>
          <w:color w:val="000000" w:themeColor="text1"/>
          <w:sz w:val="44"/>
          <w:szCs w:val="44"/>
        </w:rPr>
        <w:t>年</w:t>
      </w:r>
      <w:r>
        <w:rPr>
          <w:color w:val="000000" w:themeColor="text1"/>
        </w:rPr>
        <w:t> </w:t>
      </w:r>
      <w:r>
        <w:rPr>
          <w:rFonts w:ascii="黑体" w:eastAsia="黑体" w:hAnsi="黑体" w:cs="方正小标宋简体" w:hint="eastAsia"/>
          <w:color w:val="000000" w:themeColor="text1"/>
          <w:sz w:val="44"/>
          <w:szCs w:val="44"/>
        </w:rPr>
        <w:t>基本公共卫生服务经费及基本药物制度补助资金</w:t>
      </w:r>
      <w:r>
        <w:rPr>
          <w:rFonts w:ascii="黑体" w:eastAsia="黑体" w:hAnsi="黑体" w:cs="方正小标宋简体" w:hint="eastAsia"/>
          <w:color w:val="000000" w:themeColor="text1"/>
          <w:sz w:val="44"/>
          <w:szCs w:val="44"/>
        </w:rPr>
        <w:t>支出绩效评价报告</w:t>
      </w:r>
    </w:p>
    <w:p w:rsidR="009F5036" w:rsidRDefault="009F5036">
      <w:pPr>
        <w:spacing w:line="580" w:lineRule="exact"/>
        <w:ind w:firstLineChars="200" w:firstLine="640"/>
        <w:rPr>
          <w:rFonts w:ascii="仿宋_GB2312" w:eastAsia="仿宋_GB2312" w:hAnsi="仿宋_GB2312" w:cs="仿宋_GB2312"/>
          <w:color w:val="000000" w:themeColor="text1"/>
          <w:sz w:val="32"/>
          <w:szCs w:val="32"/>
        </w:rPr>
      </w:pPr>
    </w:p>
    <w:p w:rsidR="009F5036" w:rsidRDefault="00514D84">
      <w:pPr>
        <w:spacing w:line="58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一</w:t>
      </w:r>
      <w:r>
        <w:rPr>
          <w:rFonts w:ascii="仿宋" w:eastAsia="仿宋" w:hAnsi="仿宋" w:cs="仿宋_GB2312"/>
          <w:color w:val="000000" w:themeColor="text1"/>
          <w:sz w:val="32"/>
          <w:szCs w:val="32"/>
        </w:rPr>
        <w:t>、评价工作开展及项目情况</w:t>
      </w:r>
    </w:p>
    <w:p w:rsidR="009F5036" w:rsidRDefault="00514D84">
      <w:pPr>
        <w:autoSpaceDE w:val="0"/>
        <w:autoSpaceDN w:val="0"/>
        <w:adjustRightIn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int="eastAsia"/>
          <w:color w:val="0000FF"/>
          <w:sz w:val="32"/>
          <w:szCs w:val="32"/>
        </w:rPr>
        <w:t xml:space="preserve">   </w:t>
      </w:r>
      <w:r>
        <w:rPr>
          <w:rFonts w:ascii="仿宋_GB2312" w:eastAsia="仿宋_GB2312" w:cs="仿宋_GB2312" w:hint="eastAsia"/>
          <w:kern w:val="0"/>
          <w:sz w:val="32"/>
          <w:szCs w:val="32"/>
        </w:rPr>
        <w:t>基本药物：</w:t>
      </w:r>
      <w:r>
        <w:rPr>
          <w:rFonts w:ascii="仿宋_GB2312" w:eastAsia="仿宋_GB2312" w:hAnsi="仿宋_GB2312" w:cs="仿宋_GB2312" w:hint="eastAsia"/>
          <w:sz w:val="32"/>
          <w:szCs w:val="32"/>
        </w:rPr>
        <w:t>西区通过一手抓基本药物制度政策执行，一手抓实施过程督导检查，通过完善体制机制，实施配套改革，突出积极稳妥，着力创新发展，坚定实施国家基本药物制度，惠及辖区群众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w:t>
      </w:r>
      <w:r>
        <w:rPr>
          <w:rFonts w:ascii="仿宋_GB2312" w:eastAsia="仿宋_GB2312" w:hAnsi="仿宋_GB2312" w:cs="仿宋_GB2312" w:hint="eastAsia"/>
          <w:sz w:val="32"/>
          <w:szCs w:val="32"/>
        </w:rPr>
        <w:t>群众药费负担明显减轻，受益的程度不断增加。</w:t>
      </w:r>
    </w:p>
    <w:p w:rsidR="009F5036" w:rsidRDefault="00514D84">
      <w:pPr>
        <w:autoSpaceDE w:val="0"/>
        <w:autoSpaceDN w:val="0"/>
        <w:adjustRightInd w:val="0"/>
        <w:spacing w:line="560" w:lineRule="exact"/>
        <w:ind w:firstLineChars="200" w:firstLine="640"/>
        <w:jc w:val="left"/>
        <w:rPr>
          <w:rFonts w:ascii="仿宋_GB2312" w:eastAsia="仿宋_GB2312"/>
          <w:color w:val="0000FF"/>
          <w:sz w:val="32"/>
          <w:szCs w:val="32"/>
        </w:rPr>
      </w:pPr>
      <w:r>
        <w:rPr>
          <w:rFonts w:ascii="仿宋_GB2312" w:eastAsia="仿宋_GB2312" w:hAnsi="仿宋_GB2312" w:cs="仿宋_GB2312" w:hint="eastAsia"/>
          <w:sz w:val="32"/>
          <w:szCs w:val="32"/>
        </w:rPr>
        <w:t>基本公共卫生服务：完成十四项基本公共卫生服务绩效目标。</w:t>
      </w:r>
    </w:p>
    <w:p w:rsidR="009F5036" w:rsidRDefault="00514D84">
      <w:pPr>
        <w:spacing w:line="58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二</w:t>
      </w:r>
      <w:r>
        <w:rPr>
          <w:rFonts w:ascii="仿宋" w:eastAsia="仿宋" w:hAnsi="仿宋" w:cs="仿宋_GB2312"/>
          <w:color w:val="000000" w:themeColor="text1"/>
          <w:sz w:val="32"/>
          <w:szCs w:val="32"/>
        </w:rPr>
        <w:t>、评价结论及绩效分析</w:t>
      </w:r>
    </w:p>
    <w:p w:rsidR="009F5036" w:rsidRDefault="00514D84">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（一）评价结论</w:t>
      </w:r>
    </w:p>
    <w:p w:rsidR="009F5036" w:rsidRDefault="00514D84">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基本药物：</w:t>
      </w:r>
      <w:r>
        <w:rPr>
          <w:rFonts w:ascii="仿宋_GB2312" w:eastAsia="仿宋_GB2312" w:hAnsi="Calibri" w:cs="仿宋_GB2312" w:hint="eastAsia"/>
          <w:kern w:val="0"/>
          <w:sz w:val="32"/>
          <w:szCs w:val="32"/>
        </w:rPr>
        <w:t>截至</w:t>
      </w:r>
      <w:r>
        <w:rPr>
          <w:rFonts w:ascii="仿宋_GB2312" w:eastAsia="仿宋_GB2312" w:hAnsi="Calibri" w:cs="仿宋_GB2312" w:hint="eastAsia"/>
          <w:kern w:val="0"/>
          <w:sz w:val="32"/>
          <w:szCs w:val="32"/>
        </w:rPr>
        <w:t>2018</w:t>
      </w:r>
      <w:r>
        <w:rPr>
          <w:rFonts w:ascii="仿宋_GB2312" w:eastAsia="仿宋_GB2312" w:hAnsi="Calibri" w:cs="仿宋_GB2312" w:hint="eastAsia"/>
          <w:kern w:val="0"/>
          <w:sz w:val="32"/>
          <w:szCs w:val="32"/>
        </w:rPr>
        <w:t>年</w:t>
      </w:r>
      <w:r>
        <w:rPr>
          <w:rFonts w:ascii="仿宋_GB2312" w:eastAsia="仿宋_GB2312" w:hAnsi="Calibri" w:cs="仿宋_GB2312" w:hint="eastAsia"/>
          <w:kern w:val="0"/>
          <w:sz w:val="32"/>
          <w:szCs w:val="32"/>
        </w:rPr>
        <w:t>12</w:t>
      </w:r>
      <w:r>
        <w:rPr>
          <w:rFonts w:ascii="仿宋_GB2312" w:eastAsia="仿宋_GB2312" w:hAnsi="Calibri" w:cs="仿宋_GB2312" w:hint="eastAsia"/>
          <w:kern w:val="0"/>
          <w:sz w:val="32"/>
          <w:szCs w:val="32"/>
        </w:rPr>
        <w:t>月底共让利群众</w:t>
      </w:r>
      <w:r>
        <w:rPr>
          <w:rFonts w:ascii="仿宋_GB2312" w:eastAsia="仿宋_GB2312" w:hAnsi="Calibri" w:cs="仿宋_GB2312" w:hint="eastAsia"/>
          <w:kern w:val="0"/>
          <w:sz w:val="32"/>
          <w:szCs w:val="32"/>
        </w:rPr>
        <w:t>209.96</w:t>
      </w:r>
      <w:r>
        <w:rPr>
          <w:rFonts w:ascii="仿宋_GB2312" w:eastAsia="仿宋_GB2312" w:hAnsi="Calibri" w:cs="仿宋_GB2312" w:hint="eastAsia"/>
          <w:kern w:val="0"/>
          <w:sz w:val="32"/>
          <w:szCs w:val="32"/>
        </w:rPr>
        <w:t>万元，群众深切体会到了制度实施带来的实惠。</w:t>
      </w:r>
    </w:p>
    <w:p w:rsidR="009F5036" w:rsidRDefault="00514D84">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基本公共卫生服务：</w:t>
      </w:r>
      <w:r>
        <w:rPr>
          <w:rFonts w:eastAsia="仿宋_GB2312" w:hint="eastAsia"/>
          <w:kern w:val="0"/>
          <w:sz w:val="32"/>
          <w:szCs w:val="32"/>
        </w:rPr>
        <w:t>14</w:t>
      </w:r>
      <w:r>
        <w:rPr>
          <w:rFonts w:eastAsia="仿宋_GB2312" w:hint="eastAsia"/>
          <w:kern w:val="0"/>
          <w:sz w:val="32"/>
          <w:szCs w:val="32"/>
        </w:rPr>
        <w:t>项</w:t>
      </w:r>
      <w:r>
        <w:rPr>
          <w:rFonts w:eastAsia="仿宋_GB2312" w:hint="eastAsia"/>
          <w:kern w:val="0"/>
          <w:sz w:val="32"/>
          <w:szCs w:val="32"/>
        </w:rPr>
        <w:t>基本公共卫生服务项目按照目标任务顺利推进。</w:t>
      </w:r>
    </w:p>
    <w:p w:rsidR="009F5036" w:rsidRDefault="00514D84">
      <w:pPr>
        <w:numPr>
          <w:ilvl w:val="0"/>
          <w:numId w:val="6"/>
        </w:num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绩效分析</w:t>
      </w:r>
    </w:p>
    <w:p w:rsidR="009F5036" w:rsidRDefault="00514D84">
      <w:pPr>
        <w:autoSpaceDE w:val="0"/>
        <w:autoSpaceDN w:val="0"/>
        <w:adjustRightInd w:val="0"/>
        <w:spacing w:line="560" w:lineRule="exact"/>
        <w:ind w:firstLineChars="200" w:firstLine="640"/>
        <w:jc w:val="left"/>
        <w:rPr>
          <w:rFonts w:ascii="楷体_GB2312" w:eastAsia="楷体_GB2312" w:cs="楷体_GB2312"/>
          <w:kern w:val="0"/>
          <w:sz w:val="32"/>
          <w:szCs w:val="32"/>
        </w:rPr>
      </w:pPr>
      <w:r>
        <w:rPr>
          <w:rFonts w:eastAsia="仿宋_GB2312" w:hint="eastAsia"/>
          <w:kern w:val="0"/>
          <w:sz w:val="32"/>
          <w:szCs w:val="32"/>
        </w:rPr>
        <w:t xml:space="preserve">    </w:t>
      </w:r>
      <w:r>
        <w:rPr>
          <w:rFonts w:ascii="楷体_GB2312" w:eastAsia="楷体_GB2312" w:cs="楷体_GB2312" w:hint="eastAsia"/>
          <w:kern w:val="0"/>
          <w:sz w:val="32"/>
          <w:szCs w:val="32"/>
        </w:rPr>
        <w:t>基本药物：</w:t>
      </w:r>
      <w:r>
        <w:rPr>
          <w:rFonts w:ascii="仿宋_GB2312" w:eastAsia="仿宋_GB2312" w:hAnsi="Calibri" w:cs="仿宋_GB2312" w:hint="eastAsia"/>
          <w:kern w:val="0"/>
          <w:sz w:val="32"/>
          <w:szCs w:val="32"/>
        </w:rPr>
        <w:t>基层医疗卫生机构全部实施网上集中阳光采购基本药物，零差率销售。</w:t>
      </w:r>
      <w:r>
        <w:rPr>
          <w:rFonts w:ascii="仿宋_GB2312" w:eastAsia="仿宋_GB2312" w:hAnsi="Calibri" w:cs="仿宋_GB2312" w:hint="eastAsia"/>
          <w:kern w:val="0"/>
          <w:sz w:val="32"/>
          <w:szCs w:val="32"/>
        </w:rPr>
        <w:t>2015</w:t>
      </w:r>
      <w:r>
        <w:rPr>
          <w:rFonts w:ascii="仿宋_GB2312" w:eastAsia="仿宋_GB2312" w:hAnsi="Calibri" w:cs="仿宋_GB2312" w:hint="eastAsia"/>
          <w:kern w:val="0"/>
          <w:sz w:val="32"/>
          <w:szCs w:val="32"/>
        </w:rPr>
        <w:t>年实行零差率销售后，基层医疗卫生机构门诊人次年增长</w:t>
      </w:r>
      <w:r>
        <w:rPr>
          <w:rFonts w:ascii="仿宋_GB2312" w:eastAsia="仿宋_GB2312" w:hAnsi="Calibri" w:cs="仿宋_GB2312" w:hint="eastAsia"/>
          <w:kern w:val="0"/>
          <w:sz w:val="32"/>
          <w:szCs w:val="32"/>
        </w:rPr>
        <w:t>5%</w:t>
      </w:r>
      <w:r>
        <w:rPr>
          <w:rFonts w:ascii="仿宋_GB2312" w:eastAsia="仿宋_GB2312" w:hAnsi="Calibri" w:cs="仿宋_GB2312" w:hint="eastAsia"/>
          <w:kern w:val="0"/>
          <w:sz w:val="32"/>
          <w:szCs w:val="32"/>
        </w:rPr>
        <w:t>以上，截至</w:t>
      </w:r>
      <w:r>
        <w:rPr>
          <w:rFonts w:ascii="仿宋_GB2312" w:eastAsia="仿宋_GB2312" w:hAnsi="Calibri" w:cs="仿宋_GB2312" w:hint="eastAsia"/>
          <w:kern w:val="0"/>
          <w:sz w:val="32"/>
          <w:szCs w:val="32"/>
        </w:rPr>
        <w:t>2018</w:t>
      </w:r>
      <w:r>
        <w:rPr>
          <w:rFonts w:ascii="仿宋_GB2312" w:eastAsia="仿宋_GB2312" w:hAnsi="Calibri" w:cs="仿宋_GB2312" w:hint="eastAsia"/>
          <w:kern w:val="0"/>
          <w:sz w:val="32"/>
          <w:szCs w:val="32"/>
        </w:rPr>
        <w:t>年</w:t>
      </w:r>
      <w:r>
        <w:rPr>
          <w:rFonts w:ascii="仿宋_GB2312" w:eastAsia="仿宋_GB2312" w:hAnsi="Calibri" w:cs="仿宋_GB2312" w:hint="eastAsia"/>
          <w:kern w:val="0"/>
          <w:sz w:val="32"/>
          <w:szCs w:val="32"/>
        </w:rPr>
        <w:t>12</w:t>
      </w:r>
      <w:r>
        <w:rPr>
          <w:rFonts w:ascii="仿宋_GB2312" w:eastAsia="仿宋_GB2312" w:hAnsi="Calibri" w:cs="仿宋_GB2312" w:hint="eastAsia"/>
          <w:kern w:val="0"/>
          <w:sz w:val="32"/>
          <w:szCs w:val="32"/>
        </w:rPr>
        <w:t>月底共让利群众</w:t>
      </w:r>
      <w:r>
        <w:rPr>
          <w:rFonts w:ascii="仿宋_GB2312" w:eastAsia="仿宋_GB2312" w:hAnsi="Calibri" w:cs="仿宋_GB2312" w:hint="eastAsia"/>
          <w:kern w:val="0"/>
          <w:sz w:val="32"/>
          <w:szCs w:val="32"/>
        </w:rPr>
        <w:t>209.96</w:t>
      </w:r>
      <w:r>
        <w:rPr>
          <w:rFonts w:ascii="仿宋_GB2312" w:eastAsia="仿宋_GB2312" w:hAnsi="Calibri" w:cs="仿宋_GB2312" w:hint="eastAsia"/>
          <w:kern w:val="0"/>
          <w:sz w:val="32"/>
          <w:szCs w:val="32"/>
        </w:rPr>
        <w:t>万元，群众深切体会到了制度实施带来的实惠。二是基层医疗卫生机构</w:t>
      </w:r>
      <w:r>
        <w:rPr>
          <w:rFonts w:ascii="仿宋_GB2312" w:eastAsia="仿宋_GB2312" w:hAnsi="仿宋_GB2312" w:cs="仿宋_GB2312" w:hint="eastAsia"/>
          <w:sz w:val="32"/>
          <w:szCs w:val="32"/>
        </w:rPr>
        <w:t>管理明显增强，各基层医</w:t>
      </w:r>
      <w:r>
        <w:rPr>
          <w:rFonts w:ascii="仿宋_GB2312" w:eastAsia="仿宋_GB2312" w:hAnsi="仿宋_GB2312" w:cs="仿宋_GB2312" w:hint="eastAsia"/>
          <w:sz w:val="32"/>
          <w:szCs w:val="32"/>
        </w:rPr>
        <w:lastRenderedPageBreak/>
        <w:t>疗卫生机构强化医院内部管理，将发展的着力点放在提高医疗服务上，开始着力改善医疗服务设施，强化质量管理和提升服务档次，服务态度显著改善，面貌焕然一新。</w:t>
      </w:r>
    </w:p>
    <w:p w:rsidR="009F5036" w:rsidRDefault="00514D84">
      <w:pPr>
        <w:autoSpaceDE w:val="0"/>
        <w:autoSpaceDN w:val="0"/>
        <w:adjustRightInd w:val="0"/>
        <w:spacing w:line="560" w:lineRule="exact"/>
        <w:ind w:firstLineChars="200" w:firstLine="640"/>
        <w:jc w:val="left"/>
        <w:rPr>
          <w:rFonts w:ascii="楷体_GB2312" w:eastAsia="楷体_GB2312" w:cs="楷体_GB2312"/>
          <w:kern w:val="0"/>
          <w:sz w:val="32"/>
          <w:szCs w:val="32"/>
        </w:rPr>
      </w:pPr>
      <w:r>
        <w:rPr>
          <w:rFonts w:ascii="楷体_GB2312" w:eastAsia="楷体_GB2312" w:cs="楷体_GB2312" w:hint="eastAsia"/>
          <w:kern w:val="0"/>
          <w:sz w:val="32"/>
          <w:szCs w:val="32"/>
        </w:rPr>
        <w:t>基本公共卫生服务项目：</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）建立居民健康档案</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国家基本公共卫生服务项目中，居民健康建档是基础，为辖区常住人口建立规范的居民电子健康档案。</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）健康教育</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宣传普及《中国公民健康素养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基本知识与技能（</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年版）》，各基层医疗卫生机构为居民提供健康教育咨询服务，设置健康教育宣传栏并定期更新内容，开展健康知识讲座及个体化健康教育。</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年共发放印刷资料约</w:t>
      </w:r>
      <w:r>
        <w:rPr>
          <w:rFonts w:ascii="仿宋_GB2312" w:eastAsia="仿宋_GB2312" w:hAnsi="仿宋_GB2312" w:cs="仿宋_GB2312" w:hint="eastAsia"/>
          <w:sz w:val="32"/>
          <w:szCs w:val="32"/>
        </w:rPr>
        <w:t>122746</w:t>
      </w:r>
      <w:r>
        <w:rPr>
          <w:rFonts w:ascii="仿宋_GB2312" w:eastAsia="仿宋_GB2312" w:hAnsi="仿宋_GB2312" w:cs="仿宋_GB2312" w:hint="eastAsia"/>
          <w:sz w:val="32"/>
          <w:szCs w:val="32"/>
        </w:rPr>
        <w:t>份，更新宣传栏内容</w:t>
      </w:r>
      <w:r>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次，音像资料播放时间</w:t>
      </w:r>
      <w:r>
        <w:rPr>
          <w:rFonts w:ascii="仿宋_GB2312" w:eastAsia="仿宋_GB2312" w:hAnsi="仿宋_GB2312" w:cs="仿宋_GB2312" w:hint="eastAsia"/>
          <w:sz w:val="32"/>
          <w:szCs w:val="32"/>
        </w:rPr>
        <w:t>5000.5</w:t>
      </w:r>
      <w:r>
        <w:rPr>
          <w:rFonts w:ascii="仿宋_GB2312" w:eastAsia="仿宋_GB2312" w:hAnsi="仿宋_GB2312" w:cs="仿宋_GB2312" w:hint="eastAsia"/>
          <w:sz w:val="32"/>
          <w:szCs w:val="32"/>
        </w:rPr>
        <w:t>小时，开展公众健康咨询活动</w:t>
      </w:r>
      <w:r>
        <w:rPr>
          <w:rFonts w:ascii="仿宋_GB2312" w:eastAsia="仿宋_GB2312" w:hAnsi="仿宋_GB2312" w:cs="仿宋_GB2312" w:hint="eastAsia"/>
          <w:sz w:val="32"/>
          <w:szCs w:val="32"/>
        </w:rPr>
        <w:t>116</w:t>
      </w:r>
      <w:r>
        <w:rPr>
          <w:rFonts w:ascii="仿宋_GB2312" w:eastAsia="仿宋_GB2312" w:hAnsi="仿宋_GB2312" w:cs="仿宋_GB2312" w:hint="eastAsia"/>
          <w:sz w:val="32"/>
          <w:szCs w:val="32"/>
        </w:rPr>
        <w:t>次，受益人群</w:t>
      </w:r>
      <w:r>
        <w:rPr>
          <w:rFonts w:ascii="仿宋_GB2312" w:eastAsia="仿宋_GB2312" w:hAnsi="仿宋_GB2312" w:cs="仿宋_GB2312" w:hint="eastAsia"/>
          <w:sz w:val="32"/>
          <w:szCs w:val="32"/>
        </w:rPr>
        <w:t>13637</w:t>
      </w:r>
      <w:r>
        <w:rPr>
          <w:rFonts w:ascii="仿宋_GB2312" w:eastAsia="仿宋_GB2312" w:hAnsi="仿宋_GB2312" w:cs="仿宋_GB2312" w:hint="eastAsia"/>
          <w:sz w:val="32"/>
          <w:szCs w:val="32"/>
        </w:rPr>
        <w:t>人，举办健康知识讲座</w:t>
      </w: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次，受益人群</w:t>
      </w:r>
      <w:r>
        <w:rPr>
          <w:rFonts w:ascii="仿宋_GB2312" w:eastAsia="仿宋_GB2312" w:hAnsi="仿宋_GB2312" w:cs="仿宋_GB2312" w:hint="eastAsia"/>
          <w:sz w:val="32"/>
          <w:szCs w:val="32"/>
        </w:rPr>
        <w:t>3241</w:t>
      </w:r>
      <w:r>
        <w:rPr>
          <w:rFonts w:ascii="仿宋_GB2312" w:eastAsia="仿宋_GB2312" w:hAnsi="仿宋_GB2312" w:cs="仿宋_GB2312" w:hint="eastAsia"/>
          <w:sz w:val="32"/>
          <w:szCs w:val="32"/>
        </w:rPr>
        <w:t>人。</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）预防接种</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为适龄儿童免</w:t>
      </w:r>
      <w:r>
        <w:rPr>
          <w:rFonts w:ascii="仿宋_GB2312" w:eastAsia="仿宋_GB2312" w:hAnsi="仿宋_GB2312" w:cs="仿宋_GB2312" w:hint="eastAsia"/>
          <w:sz w:val="32"/>
          <w:szCs w:val="32"/>
        </w:rPr>
        <w:t>费接种国家免疫规划疫苗，</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月底全区共建立儿童接种卡</w:t>
      </w:r>
      <w:r>
        <w:rPr>
          <w:rFonts w:ascii="仿宋_GB2312" w:eastAsia="仿宋_GB2312" w:hAnsi="仿宋_GB2312" w:cs="仿宋_GB2312" w:hint="eastAsia"/>
          <w:sz w:val="32"/>
          <w:szCs w:val="32"/>
        </w:rPr>
        <w:t>4203</w:t>
      </w:r>
      <w:r>
        <w:rPr>
          <w:rFonts w:ascii="仿宋_GB2312" w:eastAsia="仿宋_GB2312" w:hAnsi="仿宋_GB2312" w:cs="仿宋_GB2312" w:hint="eastAsia"/>
          <w:sz w:val="32"/>
          <w:szCs w:val="32"/>
        </w:rPr>
        <w:t>人，卡介苗接种率为</w:t>
      </w:r>
      <w:r>
        <w:rPr>
          <w:rFonts w:ascii="仿宋_GB2312" w:eastAsia="仿宋_GB2312" w:hAnsi="仿宋_GB2312" w:cs="仿宋_GB2312" w:hint="eastAsia"/>
          <w:sz w:val="32"/>
          <w:szCs w:val="32"/>
        </w:rPr>
        <w:t>99.16%</w:t>
      </w:r>
      <w:r>
        <w:rPr>
          <w:rFonts w:ascii="仿宋_GB2312" w:eastAsia="仿宋_GB2312" w:hAnsi="仿宋_GB2312" w:cs="仿宋_GB2312" w:hint="eastAsia"/>
          <w:sz w:val="32"/>
          <w:szCs w:val="32"/>
        </w:rPr>
        <w:t>，乙肝疫苗接种率为</w:t>
      </w:r>
      <w:r>
        <w:rPr>
          <w:rFonts w:ascii="仿宋_GB2312" w:eastAsia="仿宋_GB2312" w:hAnsi="仿宋_GB2312" w:cs="仿宋_GB2312" w:hint="eastAsia"/>
          <w:sz w:val="32"/>
          <w:szCs w:val="32"/>
        </w:rPr>
        <w:t>97.82%</w:t>
      </w:r>
      <w:r>
        <w:rPr>
          <w:rFonts w:ascii="仿宋_GB2312" w:eastAsia="仿宋_GB2312" w:hAnsi="仿宋_GB2312" w:cs="仿宋_GB2312" w:hint="eastAsia"/>
          <w:sz w:val="32"/>
          <w:szCs w:val="32"/>
        </w:rPr>
        <w:t>，脊灰疫苗接种率为</w:t>
      </w:r>
      <w:r>
        <w:rPr>
          <w:rFonts w:ascii="仿宋_GB2312" w:eastAsia="仿宋_GB2312" w:hAnsi="仿宋_GB2312" w:cs="仿宋_GB2312" w:hint="eastAsia"/>
          <w:sz w:val="32"/>
          <w:szCs w:val="32"/>
        </w:rPr>
        <w:t>97.55%</w:t>
      </w:r>
      <w:r>
        <w:rPr>
          <w:rFonts w:ascii="仿宋_GB2312" w:eastAsia="仿宋_GB2312" w:hAnsi="仿宋_GB2312" w:cs="仿宋_GB2312" w:hint="eastAsia"/>
          <w:sz w:val="32"/>
          <w:szCs w:val="32"/>
        </w:rPr>
        <w:t>，含麻成份疫苗接种率为</w:t>
      </w:r>
      <w:r>
        <w:rPr>
          <w:rFonts w:ascii="仿宋_GB2312" w:eastAsia="仿宋_GB2312" w:hAnsi="仿宋_GB2312" w:cs="仿宋_GB2312" w:hint="eastAsia"/>
          <w:sz w:val="32"/>
          <w:szCs w:val="32"/>
        </w:rPr>
        <w:t>97.62%</w:t>
      </w:r>
      <w:r>
        <w:rPr>
          <w:rFonts w:ascii="仿宋_GB2312" w:eastAsia="仿宋_GB2312" w:hAnsi="仿宋_GB2312" w:cs="仿宋_GB2312" w:hint="eastAsia"/>
          <w:sz w:val="32"/>
          <w:szCs w:val="32"/>
        </w:rPr>
        <w:t>，百白破疫苗接种率为</w:t>
      </w:r>
      <w:r>
        <w:rPr>
          <w:rFonts w:ascii="仿宋_GB2312" w:eastAsia="仿宋_GB2312" w:hAnsi="仿宋_GB2312" w:cs="仿宋_GB2312" w:hint="eastAsia"/>
          <w:sz w:val="32"/>
          <w:szCs w:val="32"/>
        </w:rPr>
        <w:t>98.24%</w:t>
      </w:r>
      <w:r>
        <w:rPr>
          <w:rFonts w:ascii="仿宋_GB2312" w:eastAsia="仿宋_GB2312" w:hAnsi="仿宋_GB2312" w:cs="仿宋_GB2312" w:hint="eastAsia"/>
          <w:sz w:val="32"/>
          <w:szCs w:val="32"/>
        </w:rPr>
        <w:t>，流脑疫苗接种率为</w:t>
      </w:r>
      <w:r>
        <w:rPr>
          <w:rFonts w:ascii="仿宋_GB2312" w:eastAsia="仿宋_GB2312" w:hAnsi="仿宋_GB2312" w:cs="仿宋_GB2312" w:hint="eastAsia"/>
          <w:sz w:val="32"/>
          <w:szCs w:val="32"/>
        </w:rPr>
        <w:t>97.75%</w:t>
      </w:r>
      <w:r>
        <w:rPr>
          <w:rFonts w:ascii="仿宋_GB2312" w:eastAsia="仿宋_GB2312" w:hAnsi="仿宋_GB2312" w:cs="仿宋_GB2312" w:hint="eastAsia"/>
          <w:sz w:val="32"/>
          <w:szCs w:val="32"/>
        </w:rPr>
        <w:t>，乙脑疫苗接种率为</w:t>
      </w:r>
      <w:r>
        <w:rPr>
          <w:rFonts w:ascii="仿宋_GB2312" w:eastAsia="仿宋_GB2312" w:hAnsi="仿宋_GB2312" w:cs="仿宋_GB2312" w:hint="eastAsia"/>
          <w:sz w:val="32"/>
          <w:szCs w:val="32"/>
        </w:rPr>
        <w:t>97.49%</w:t>
      </w:r>
      <w:r>
        <w:rPr>
          <w:rFonts w:ascii="仿宋_GB2312" w:eastAsia="仿宋_GB2312" w:hAnsi="仿宋_GB2312" w:cs="仿宋_GB2312" w:hint="eastAsia"/>
          <w:sz w:val="32"/>
          <w:szCs w:val="32"/>
        </w:rPr>
        <w:t>，甲肝疫苗接种率为</w:t>
      </w:r>
      <w:r>
        <w:rPr>
          <w:rFonts w:ascii="仿宋_GB2312" w:eastAsia="仿宋_GB2312" w:hAnsi="仿宋_GB2312" w:cs="仿宋_GB2312" w:hint="eastAsia"/>
          <w:sz w:val="32"/>
          <w:szCs w:val="32"/>
        </w:rPr>
        <w:t>97.73%</w:t>
      </w:r>
      <w:r>
        <w:rPr>
          <w:rFonts w:ascii="仿宋_GB2312" w:eastAsia="仿宋_GB2312" w:hAnsi="仿宋_GB2312" w:cs="仿宋_GB2312" w:hint="eastAsia"/>
          <w:sz w:val="32"/>
          <w:szCs w:val="32"/>
        </w:rPr>
        <w:t>。</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w:t>
      </w: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）传染病防治</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及时发现、登记并报告辖区内发现的传染病病例和疑似病例。</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）儿童健康管理</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岁儿童建立儿童保健手册，开展新生儿访视及儿童保健系统管理。</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）孕产妇健康管理</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按照《国家基本公共卫生服务项目规范》（第三版）要求，每年至少为孕产妇免费开展</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次孕期保健服务和</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次产后访视。</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）老年人健康管理</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每年为辖区内</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岁及以上常住居民提供</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次健康管理服务，包括生活方式和健康状况评估、体格检查、辅助检查和健康指导。</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）慢性病患者健康管理</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对确诊高血压和糖尿病的患者进行登记管理，定期进行随访，并对他们进行体格检查及用药、饮食、运动、心理等健康指导。</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9</w:t>
      </w:r>
      <w:r>
        <w:rPr>
          <w:rFonts w:ascii="仿宋_GB2312" w:eastAsia="仿宋_GB2312" w:hAnsi="仿宋_GB2312" w:cs="仿宋_GB2312" w:hint="eastAsia"/>
          <w:b/>
          <w:bCs/>
          <w:sz w:val="32"/>
          <w:szCs w:val="32"/>
        </w:rPr>
        <w:t>）重性精神疾病患者管理</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对确诊</w:t>
      </w:r>
      <w:r>
        <w:rPr>
          <w:rFonts w:ascii="仿宋_GB2312" w:eastAsia="仿宋_GB2312" w:hAnsi="仿宋_GB2312" w:cs="仿宋_GB2312" w:hint="eastAsia"/>
          <w:sz w:val="32"/>
          <w:szCs w:val="32"/>
        </w:rPr>
        <w:t>明确、在家居住的重性精神疾病患者进行定期随访评估和分类干预。</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）卫生监督协管服务</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2018</w:t>
      </w:r>
      <w:r>
        <w:rPr>
          <w:rFonts w:ascii="仿宋_GB2312" w:eastAsia="仿宋_GB2312" w:hAnsi="仿宋_GB2312" w:cs="仿宋_GB2312" w:hint="eastAsia"/>
          <w:sz w:val="32"/>
          <w:szCs w:val="32"/>
        </w:rPr>
        <w:t>年各基层医疗卫生机构协管办公室共协助开展饮用水卫生安全、食品卫生安全、职业病危害、学校卫生、非法采供血实地巡查</w:t>
      </w:r>
      <w:r>
        <w:rPr>
          <w:rFonts w:ascii="仿宋_GB2312" w:eastAsia="仿宋_GB2312" w:hAnsi="仿宋_GB2312" w:cs="仿宋_GB2312" w:hint="eastAsia"/>
          <w:sz w:val="32"/>
          <w:szCs w:val="32"/>
        </w:rPr>
        <w:t>679</w:t>
      </w:r>
      <w:r>
        <w:rPr>
          <w:rFonts w:ascii="仿宋_GB2312" w:eastAsia="仿宋_GB2312" w:hAnsi="仿宋_GB2312" w:cs="仿宋_GB2312" w:hint="eastAsia"/>
          <w:sz w:val="32"/>
          <w:szCs w:val="32"/>
        </w:rPr>
        <w:t>次。</w:t>
      </w:r>
    </w:p>
    <w:p w:rsidR="009F5036" w:rsidRDefault="00514D84">
      <w:pPr>
        <w:spacing w:line="353"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11</w:t>
      </w:r>
      <w:r>
        <w:rPr>
          <w:rFonts w:ascii="仿宋_GB2312" w:eastAsia="仿宋_GB2312" w:hAnsi="仿宋_GB2312" w:cs="仿宋_GB2312" w:hint="eastAsia"/>
          <w:b/>
          <w:bCs/>
          <w:sz w:val="32"/>
          <w:szCs w:val="32"/>
        </w:rPr>
        <w:t>）中医药健康管理服务</w:t>
      </w:r>
    </w:p>
    <w:p w:rsidR="009F5036" w:rsidRDefault="00514D84">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年，目前辖区内应管理的</w:t>
      </w:r>
      <w:r>
        <w:rPr>
          <w:rFonts w:ascii="仿宋_GB2312" w:eastAsia="仿宋_GB2312" w:hAnsi="仿宋_GB2312" w:cs="仿宋_GB2312" w:hint="eastAsia"/>
          <w:sz w:val="32"/>
          <w:szCs w:val="32"/>
        </w:rPr>
        <w:t>0-3</w:t>
      </w:r>
      <w:r>
        <w:rPr>
          <w:rFonts w:ascii="仿宋_GB2312" w:eastAsia="仿宋_GB2312" w:hAnsi="仿宋_GB2312" w:cs="仿宋_GB2312" w:hint="eastAsia"/>
          <w:sz w:val="32"/>
          <w:szCs w:val="32"/>
        </w:rPr>
        <w:t>岁儿童数</w:t>
      </w:r>
      <w:r>
        <w:rPr>
          <w:rFonts w:ascii="仿宋_GB2312" w:eastAsia="仿宋_GB2312" w:hAnsi="仿宋_GB2312" w:cs="仿宋_GB2312" w:hint="eastAsia"/>
          <w:sz w:val="32"/>
          <w:szCs w:val="32"/>
        </w:rPr>
        <w:t>2516</w:t>
      </w:r>
      <w:r>
        <w:rPr>
          <w:rFonts w:ascii="仿宋_GB2312" w:eastAsia="仿宋_GB2312" w:hAnsi="仿宋_GB2312" w:cs="仿宋_GB2312" w:hint="eastAsia"/>
          <w:sz w:val="32"/>
          <w:szCs w:val="32"/>
        </w:rPr>
        <w:t>人，接受中医药健康管理服务人数</w:t>
      </w:r>
      <w:r>
        <w:rPr>
          <w:rFonts w:ascii="仿宋_GB2312" w:eastAsia="仿宋_GB2312" w:hAnsi="仿宋_GB2312" w:cs="仿宋_GB2312" w:hint="eastAsia"/>
          <w:sz w:val="32"/>
          <w:szCs w:val="32"/>
        </w:rPr>
        <w:t>2387</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岁及以上老年人接受中医药健康管理人数</w:t>
      </w:r>
      <w:r>
        <w:rPr>
          <w:rFonts w:ascii="仿宋_GB2312" w:eastAsia="仿宋_GB2312" w:hAnsi="仿宋_GB2312" w:cs="仿宋_GB2312" w:hint="eastAsia"/>
          <w:sz w:val="32"/>
          <w:szCs w:val="32"/>
        </w:rPr>
        <w:t>14612</w:t>
      </w:r>
      <w:r>
        <w:rPr>
          <w:rFonts w:ascii="仿宋_GB2312" w:eastAsia="仿宋_GB2312" w:hAnsi="仿宋_GB2312" w:cs="仿宋_GB2312" w:hint="eastAsia"/>
          <w:sz w:val="32"/>
          <w:szCs w:val="32"/>
        </w:rPr>
        <w:t>人。</w:t>
      </w:r>
    </w:p>
    <w:p w:rsidR="009F5036" w:rsidRDefault="00514D84">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w:t>
      </w:r>
      <w:r>
        <w:rPr>
          <w:rFonts w:eastAsia="楷体_GB2312" w:hint="eastAsia"/>
          <w:kern w:val="0"/>
          <w:sz w:val="32"/>
          <w:szCs w:val="32"/>
        </w:rPr>
        <w:t>三</w:t>
      </w:r>
      <w:r>
        <w:rPr>
          <w:rFonts w:eastAsia="楷体_GB2312"/>
          <w:kern w:val="0"/>
          <w:sz w:val="32"/>
          <w:szCs w:val="32"/>
        </w:rPr>
        <w:t>）项目效益情况。</w:t>
      </w:r>
    </w:p>
    <w:p w:rsidR="009F5036" w:rsidRDefault="00514D84">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社会效益指标：提升群众满意度，加强公众知晓率；服务对象满意度指标：抽样调查达到基本满意及以上</w:t>
      </w:r>
      <w:r>
        <w:rPr>
          <w:rFonts w:eastAsia="仿宋_GB2312"/>
          <w:kern w:val="0"/>
          <w:sz w:val="32"/>
          <w:szCs w:val="32"/>
        </w:rPr>
        <w:t>。</w:t>
      </w:r>
    </w:p>
    <w:p w:rsidR="009F5036" w:rsidRDefault="00514D84">
      <w:pPr>
        <w:spacing w:line="58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三</w:t>
      </w:r>
      <w:r>
        <w:rPr>
          <w:rFonts w:ascii="仿宋" w:eastAsia="仿宋" w:hAnsi="仿宋" w:cs="仿宋_GB2312"/>
          <w:color w:val="000000" w:themeColor="text1"/>
          <w:sz w:val="32"/>
          <w:szCs w:val="32"/>
        </w:rPr>
        <w:t>、存在主要问题</w:t>
      </w:r>
      <w:r>
        <w:rPr>
          <w:rFonts w:ascii="仿宋" w:eastAsia="仿宋" w:hAnsi="仿宋" w:cs="仿宋_GB2312" w:hint="eastAsia"/>
          <w:color w:val="000000" w:themeColor="text1"/>
          <w:sz w:val="32"/>
          <w:szCs w:val="32"/>
        </w:rPr>
        <w:t>及相关措施建议</w:t>
      </w:r>
    </w:p>
    <w:p w:rsidR="009F5036" w:rsidRDefault="00514D84">
      <w:pPr>
        <w:spacing w:line="580" w:lineRule="exact"/>
        <w:ind w:firstLineChars="200" w:firstLine="640"/>
        <w:rPr>
          <w:rFonts w:ascii="仿宋_GB2312" w:eastAsia="仿宋_GB2312"/>
          <w:color w:val="0000FF"/>
          <w:sz w:val="32"/>
          <w:szCs w:val="32"/>
        </w:rPr>
      </w:pPr>
      <w:r>
        <w:rPr>
          <w:rFonts w:ascii="仿宋_GB2312" w:eastAsia="仿宋_GB2312" w:cs="仿宋_GB2312" w:hint="eastAsia"/>
          <w:kern w:val="0"/>
          <w:sz w:val="32"/>
          <w:szCs w:val="32"/>
        </w:rPr>
        <w:t>建议基本公共卫生服务项目资金拓宽使用范围。</w:t>
      </w:r>
    </w:p>
    <w:p w:rsidR="009F5036" w:rsidRDefault="009F5036">
      <w:pPr>
        <w:spacing w:line="580" w:lineRule="exact"/>
        <w:ind w:firstLineChars="200" w:firstLine="640"/>
        <w:rPr>
          <w:rFonts w:ascii="仿宋_GB2312" w:eastAsia="仿宋_GB2312"/>
          <w:color w:val="0000FF"/>
          <w:sz w:val="32"/>
          <w:szCs w:val="32"/>
        </w:rPr>
      </w:pPr>
    </w:p>
    <w:p w:rsidR="009F5036" w:rsidRDefault="009F5036">
      <w:pPr>
        <w:spacing w:line="580" w:lineRule="exact"/>
        <w:ind w:firstLineChars="200" w:firstLine="640"/>
        <w:rPr>
          <w:rFonts w:ascii="仿宋_GB2312" w:eastAsia="仿宋_GB2312"/>
          <w:color w:val="0000FF"/>
          <w:sz w:val="32"/>
          <w:szCs w:val="32"/>
        </w:rPr>
      </w:pPr>
    </w:p>
    <w:p w:rsidR="009F5036" w:rsidRDefault="009F5036">
      <w:pPr>
        <w:spacing w:line="580" w:lineRule="exact"/>
        <w:ind w:firstLineChars="200" w:firstLine="640"/>
        <w:rPr>
          <w:rFonts w:ascii="仿宋_GB2312" w:eastAsia="仿宋_GB2312"/>
          <w:color w:val="0000FF"/>
          <w:sz w:val="32"/>
          <w:szCs w:val="32"/>
        </w:rPr>
      </w:pPr>
    </w:p>
    <w:p w:rsidR="009F5036" w:rsidRDefault="009F5036">
      <w:pPr>
        <w:spacing w:line="580" w:lineRule="exact"/>
        <w:ind w:firstLineChars="200" w:firstLine="640"/>
        <w:rPr>
          <w:rFonts w:ascii="仿宋_GB2312" w:eastAsia="仿宋_GB2312"/>
          <w:color w:val="0000FF"/>
          <w:sz w:val="32"/>
          <w:szCs w:val="32"/>
        </w:rPr>
      </w:pPr>
    </w:p>
    <w:p w:rsidR="009F5036" w:rsidRDefault="009F5036">
      <w:pPr>
        <w:spacing w:line="580" w:lineRule="exact"/>
        <w:ind w:firstLineChars="200" w:firstLine="640"/>
        <w:rPr>
          <w:rFonts w:ascii="仿宋_GB2312" w:eastAsia="仿宋_GB2312"/>
          <w:color w:val="0000FF"/>
          <w:sz w:val="32"/>
          <w:szCs w:val="32"/>
        </w:rPr>
      </w:pPr>
    </w:p>
    <w:p w:rsidR="009F5036" w:rsidRDefault="009F5036">
      <w:pPr>
        <w:spacing w:line="580" w:lineRule="exact"/>
        <w:ind w:firstLineChars="200" w:firstLine="640"/>
        <w:rPr>
          <w:rFonts w:ascii="仿宋_GB2312" w:eastAsia="仿宋_GB2312"/>
          <w:color w:val="0000FF"/>
          <w:sz w:val="32"/>
          <w:szCs w:val="32"/>
        </w:rPr>
      </w:pPr>
    </w:p>
    <w:p w:rsidR="009F5036" w:rsidRDefault="009F5036">
      <w:pPr>
        <w:spacing w:line="580" w:lineRule="exact"/>
        <w:ind w:firstLineChars="200" w:firstLine="640"/>
        <w:rPr>
          <w:rFonts w:ascii="仿宋_GB2312" w:eastAsia="仿宋_GB2312"/>
          <w:color w:val="0000FF"/>
          <w:sz w:val="32"/>
          <w:szCs w:val="32"/>
        </w:rPr>
      </w:pPr>
    </w:p>
    <w:p w:rsidR="009F5036" w:rsidRDefault="009F5036">
      <w:pPr>
        <w:spacing w:line="580" w:lineRule="exact"/>
        <w:ind w:firstLineChars="200" w:firstLine="640"/>
        <w:rPr>
          <w:rFonts w:ascii="仿宋_GB2312" w:eastAsia="仿宋_GB2312"/>
          <w:color w:val="0000FF"/>
          <w:sz w:val="32"/>
          <w:szCs w:val="32"/>
        </w:rPr>
      </w:pPr>
    </w:p>
    <w:p w:rsidR="009F5036" w:rsidRDefault="009F5036">
      <w:pPr>
        <w:spacing w:line="580" w:lineRule="exact"/>
        <w:ind w:firstLineChars="200" w:firstLine="640"/>
        <w:rPr>
          <w:rFonts w:ascii="仿宋_GB2312" w:eastAsia="仿宋_GB2312"/>
          <w:color w:val="0000FF"/>
          <w:sz w:val="32"/>
          <w:szCs w:val="32"/>
        </w:rPr>
      </w:pPr>
    </w:p>
    <w:p w:rsidR="009F5036" w:rsidRDefault="009F5036">
      <w:pPr>
        <w:spacing w:line="580" w:lineRule="exact"/>
        <w:ind w:firstLineChars="200" w:firstLine="640"/>
        <w:rPr>
          <w:rFonts w:ascii="仿宋_GB2312" w:eastAsia="仿宋_GB2312"/>
          <w:color w:val="0000FF"/>
          <w:sz w:val="32"/>
          <w:szCs w:val="32"/>
        </w:rPr>
      </w:pPr>
    </w:p>
    <w:p w:rsidR="009F5036" w:rsidRDefault="009F5036">
      <w:pPr>
        <w:spacing w:line="580" w:lineRule="exact"/>
        <w:rPr>
          <w:rFonts w:ascii="仿宋_GB2312" w:eastAsia="仿宋_GB2312"/>
          <w:color w:val="0000FF"/>
          <w:sz w:val="32"/>
          <w:szCs w:val="32"/>
        </w:rPr>
      </w:pPr>
    </w:p>
    <w:p w:rsidR="009F5036" w:rsidRDefault="009F5036">
      <w:pPr>
        <w:spacing w:line="580" w:lineRule="exact"/>
        <w:rPr>
          <w:rFonts w:ascii="仿宋_GB2312" w:eastAsia="仿宋_GB2312"/>
          <w:color w:val="0000FF"/>
          <w:sz w:val="32"/>
          <w:szCs w:val="32"/>
        </w:rPr>
      </w:pPr>
    </w:p>
    <w:p w:rsidR="009F5036" w:rsidRDefault="00514D84">
      <w:pPr>
        <w:spacing w:line="600" w:lineRule="exact"/>
        <w:jc w:val="center"/>
        <w:outlineLvl w:val="0"/>
        <w:rPr>
          <w:rStyle w:val="10"/>
          <w:rFonts w:ascii="黑体" w:eastAsia="黑体" w:hAnsi="黑体"/>
          <w:b w:val="0"/>
        </w:rPr>
      </w:pPr>
      <w:bookmarkStart w:id="63" w:name="_Toc15396618"/>
      <w:r>
        <w:rPr>
          <w:rFonts w:ascii="黑体" w:eastAsia="黑体" w:hAnsi="黑体" w:hint="eastAsia"/>
          <w:sz w:val="44"/>
          <w:szCs w:val="44"/>
        </w:rPr>
        <w:t>第</w:t>
      </w:r>
      <w:r>
        <w:rPr>
          <w:rStyle w:val="10"/>
          <w:rFonts w:ascii="黑体" w:eastAsia="黑体" w:hAnsi="黑体" w:hint="eastAsia"/>
          <w:b w:val="0"/>
        </w:rPr>
        <w:t>五部分</w:t>
      </w:r>
      <w:r>
        <w:rPr>
          <w:rStyle w:val="10"/>
          <w:rFonts w:ascii="黑体" w:eastAsia="黑体" w:hAnsi="黑体" w:hint="eastAsia"/>
          <w:b w:val="0"/>
        </w:rPr>
        <w:t xml:space="preserve"> </w:t>
      </w:r>
      <w:r>
        <w:rPr>
          <w:rStyle w:val="10"/>
          <w:rFonts w:ascii="黑体" w:eastAsia="黑体" w:hAnsi="黑体" w:hint="eastAsia"/>
          <w:b w:val="0"/>
        </w:rPr>
        <w:t>附表</w:t>
      </w:r>
      <w:bookmarkEnd w:id="58"/>
      <w:bookmarkEnd w:id="63"/>
    </w:p>
    <w:p w:rsidR="009F5036" w:rsidRDefault="009F5036">
      <w:pPr>
        <w:spacing w:line="600" w:lineRule="exact"/>
        <w:jc w:val="center"/>
        <w:outlineLvl w:val="0"/>
        <w:rPr>
          <w:rFonts w:ascii="仿宋" w:eastAsia="仿宋" w:hAnsi="仿宋"/>
          <w:b/>
          <w:sz w:val="44"/>
          <w:szCs w:val="44"/>
        </w:rPr>
      </w:pPr>
    </w:p>
    <w:p w:rsidR="009F5036" w:rsidRDefault="00514D84">
      <w:pPr>
        <w:pStyle w:val="2"/>
        <w:rPr>
          <w:rFonts w:ascii="仿宋" w:eastAsia="仿宋" w:hAnsi="仿宋"/>
        </w:rPr>
      </w:pPr>
      <w:bookmarkStart w:id="64" w:name="_Toc15396619"/>
      <w:r>
        <w:rPr>
          <w:rFonts w:ascii="仿宋" w:eastAsia="仿宋" w:hAnsi="仿宋" w:hint="eastAsia"/>
          <w:b w:val="0"/>
        </w:rPr>
        <w:t>一、收</w:t>
      </w:r>
      <w:r>
        <w:rPr>
          <w:rStyle w:val="20"/>
          <w:rFonts w:ascii="仿宋" w:eastAsia="仿宋" w:hAnsi="仿宋" w:hint="eastAsia"/>
        </w:rPr>
        <w:t>入支出决算总表</w:t>
      </w:r>
      <w:bookmarkEnd w:id="64"/>
    </w:p>
    <w:p w:rsidR="009F5036" w:rsidRDefault="00514D84">
      <w:pPr>
        <w:pStyle w:val="2"/>
        <w:rPr>
          <w:rFonts w:ascii="仿宋" w:eastAsia="仿宋" w:hAnsi="仿宋"/>
        </w:rPr>
      </w:pPr>
      <w:bookmarkStart w:id="65" w:name="_Toc15396620"/>
      <w:r>
        <w:rPr>
          <w:rFonts w:ascii="仿宋" w:eastAsia="仿宋" w:hAnsi="仿宋" w:hint="eastAsia"/>
          <w:b w:val="0"/>
        </w:rPr>
        <w:t>二、收</w:t>
      </w:r>
      <w:r>
        <w:rPr>
          <w:rStyle w:val="20"/>
          <w:rFonts w:ascii="仿宋" w:eastAsia="仿宋" w:hAnsi="仿宋" w:hint="eastAsia"/>
        </w:rPr>
        <w:t>入总表</w:t>
      </w:r>
      <w:bookmarkEnd w:id="65"/>
    </w:p>
    <w:p w:rsidR="009F5036" w:rsidRDefault="00514D84">
      <w:pPr>
        <w:pStyle w:val="2"/>
        <w:rPr>
          <w:rFonts w:ascii="仿宋" w:eastAsia="仿宋" w:hAnsi="仿宋"/>
        </w:rPr>
      </w:pPr>
      <w:bookmarkStart w:id="66" w:name="_Toc15396621"/>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出总表</w:t>
      </w:r>
      <w:bookmarkEnd w:id="66"/>
    </w:p>
    <w:p w:rsidR="009F5036" w:rsidRDefault="00514D84">
      <w:pPr>
        <w:pStyle w:val="2"/>
        <w:rPr>
          <w:rFonts w:ascii="仿宋" w:eastAsia="仿宋" w:hAnsi="仿宋"/>
          <w:b w:val="0"/>
        </w:rPr>
      </w:pPr>
      <w:bookmarkStart w:id="67" w:name="_Toc15396622"/>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67"/>
    </w:p>
    <w:p w:rsidR="009F5036" w:rsidRDefault="00514D84">
      <w:pPr>
        <w:pStyle w:val="2"/>
        <w:rPr>
          <w:rFonts w:ascii="仿宋" w:eastAsia="仿宋" w:hAnsi="仿宋"/>
        </w:rPr>
      </w:pPr>
      <w:bookmarkStart w:id="68" w:name="_Toc15396623"/>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政拨款支出决算明细表（政府经济分类科目）</w:t>
      </w:r>
      <w:bookmarkEnd w:id="68"/>
    </w:p>
    <w:p w:rsidR="009F5036" w:rsidRDefault="00514D84">
      <w:pPr>
        <w:pStyle w:val="2"/>
        <w:rPr>
          <w:rFonts w:ascii="仿宋" w:eastAsia="仿宋" w:hAnsi="仿宋"/>
        </w:rPr>
      </w:pPr>
      <w:bookmarkStart w:id="69" w:name="_Toc15396624"/>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69"/>
    </w:p>
    <w:p w:rsidR="009F5036" w:rsidRDefault="00514D84">
      <w:pPr>
        <w:pStyle w:val="2"/>
        <w:rPr>
          <w:rFonts w:ascii="仿宋" w:eastAsia="仿宋" w:hAnsi="仿宋"/>
        </w:rPr>
      </w:pPr>
      <w:bookmarkStart w:id="70" w:name="_Toc15396625"/>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70"/>
    </w:p>
    <w:p w:rsidR="009F5036" w:rsidRDefault="00514D84">
      <w:pPr>
        <w:pStyle w:val="2"/>
        <w:rPr>
          <w:rFonts w:ascii="仿宋" w:eastAsia="仿宋" w:hAnsi="仿宋"/>
        </w:rPr>
      </w:pPr>
      <w:bookmarkStart w:id="71" w:name="_Toc15396626"/>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71"/>
    </w:p>
    <w:p w:rsidR="009F5036" w:rsidRDefault="00514D84">
      <w:pPr>
        <w:pStyle w:val="2"/>
        <w:rPr>
          <w:rFonts w:ascii="仿宋" w:eastAsia="仿宋" w:hAnsi="仿宋"/>
        </w:rPr>
      </w:pPr>
      <w:bookmarkStart w:id="72" w:name="_Toc15396627"/>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72"/>
    </w:p>
    <w:p w:rsidR="009F5036" w:rsidRDefault="00514D84">
      <w:pPr>
        <w:pStyle w:val="2"/>
        <w:rPr>
          <w:rFonts w:ascii="仿宋" w:eastAsia="仿宋" w:hAnsi="仿宋"/>
        </w:rPr>
      </w:pPr>
      <w:bookmarkStart w:id="73" w:name="_Toc15396628"/>
      <w:r>
        <w:rPr>
          <w:rStyle w:val="20"/>
          <w:rFonts w:ascii="仿宋" w:eastAsia="仿宋" w:hAnsi="仿宋" w:hint="eastAsia"/>
        </w:rPr>
        <w:t>十、</w:t>
      </w:r>
      <w:r>
        <w:rPr>
          <w:rFonts w:ascii="仿宋" w:eastAsia="仿宋" w:hAnsi="仿宋" w:hint="eastAsia"/>
          <w:b w:val="0"/>
        </w:rPr>
        <w:t>一</w:t>
      </w:r>
      <w:r>
        <w:rPr>
          <w:rStyle w:val="20"/>
          <w:rFonts w:ascii="仿宋" w:eastAsia="仿宋" w:hAnsi="仿宋" w:hint="eastAsia"/>
        </w:rPr>
        <w:t>般公共预算财政拨款“三公”经费支出决算表</w:t>
      </w:r>
      <w:bookmarkEnd w:id="73"/>
    </w:p>
    <w:p w:rsidR="009F5036" w:rsidRDefault="00514D84">
      <w:pPr>
        <w:pStyle w:val="2"/>
        <w:rPr>
          <w:rFonts w:ascii="仿宋" w:eastAsia="仿宋" w:hAnsi="仿宋"/>
        </w:rPr>
      </w:pPr>
      <w:bookmarkStart w:id="74" w:name="_Toc15396629"/>
      <w:r>
        <w:rPr>
          <w:rStyle w:val="20"/>
          <w:rFonts w:ascii="仿宋" w:eastAsia="仿宋" w:hAnsi="仿宋" w:hint="eastAsia"/>
        </w:rPr>
        <w:t>十一、</w:t>
      </w:r>
      <w:r>
        <w:rPr>
          <w:rFonts w:ascii="仿宋" w:eastAsia="仿宋" w:hAnsi="仿宋" w:hint="eastAsia"/>
          <w:b w:val="0"/>
        </w:rPr>
        <w:t>政</w:t>
      </w:r>
      <w:r>
        <w:rPr>
          <w:rStyle w:val="20"/>
          <w:rFonts w:ascii="仿宋" w:eastAsia="仿宋" w:hAnsi="仿宋" w:hint="eastAsia"/>
        </w:rPr>
        <w:t>府性基金预算财政拨款收入支出决算表</w:t>
      </w:r>
      <w:bookmarkEnd w:id="74"/>
    </w:p>
    <w:p w:rsidR="009F5036" w:rsidRDefault="00514D84">
      <w:pPr>
        <w:pStyle w:val="2"/>
        <w:rPr>
          <w:rFonts w:ascii="仿宋" w:eastAsia="仿宋" w:hAnsi="仿宋"/>
        </w:rPr>
      </w:pPr>
      <w:bookmarkStart w:id="75" w:name="_Toc15396630"/>
      <w:r>
        <w:rPr>
          <w:rStyle w:val="20"/>
          <w:rFonts w:ascii="仿宋" w:eastAsia="仿宋" w:hAnsi="仿宋" w:hint="eastAsia"/>
        </w:rPr>
        <w:t>十二、</w:t>
      </w:r>
      <w:r>
        <w:rPr>
          <w:rFonts w:ascii="仿宋" w:eastAsia="仿宋" w:hAnsi="仿宋" w:hint="eastAsia"/>
          <w:b w:val="0"/>
        </w:rPr>
        <w:t>政</w:t>
      </w:r>
      <w:r>
        <w:rPr>
          <w:rStyle w:val="20"/>
          <w:rFonts w:ascii="仿宋" w:eastAsia="仿宋" w:hAnsi="仿宋" w:hint="eastAsia"/>
        </w:rPr>
        <w:t>府性基金预算财政拨款“三公”经费支出决算表</w:t>
      </w:r>
      <w:bookmarkEnd w:id="75"/>
    </w:p>
    <w:p w:rsidR="009F5036" w:rsidRDefault="00514D84">
      <w:pPr>
        <w:pStyle w:val="2"/>
        <w:rPr>
          <w:rFonts w:ascii="仿宋" w:eastAsia="仿宋" w:hAnsi="仿宋"/>
        </w:rPr>
      </w:pPr>
      <w:bookmarkStart w:id="76" w:name="_Toc15396631"/>
      <w:r>
        <w:rPr>
          <w:rStyle w:val="20"/>
          <w:rFonts w:ascii="仿宋" w:eastAsia="仿宋" w:hAnsi="仿宋" w:hint="eastAsia"/>
        </w:rPr>
        <w:t>十三、</w:t>
      </w:r>
      <w:r>
        <w:rPr>
          <w:rFonts w:ascii="仿宋" w:eastAsia="仿宋" w:hAnsi="仿宋" w:hint="eastAsia"/>
          <w:b w:val="0"/>
        </w:rPr>
        <w:t>国</w:t>
      </w:r>
      <w:r>
        <w:rPr>
          <w:rStyle w:val="20"/>
          <w:rFonts w:ascii="仿宋" w:eastAsia="仿宋" w:hAnsi="仿宋" w:hint="eastAsia"/>
        </w:rPr>
        <w:t>有资本经营预算支出决算表</w:t>
      </w:r>
      <w:bookmarkEnd w:id="76"/>
    </w:p>
    <w:p w:rsidR="009F5036" w:rsidRDefault="009F5036">
      <w:pPr>
        <w:rPr>
          <w:color w:val="0000FF"/>
        </w:rPr>
      </w:pPr>
    </w:p>
    <w:sectPr w:rsidR="009F5036">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D84" w:rsidRDefault="00514D84">
      <w:r>
        <w:separator/>
      </w:r>
    </w:p>
  </w:endnote>
  <w:endnote w:type="continuationSeparator" w:id="0">
    <w:p w:rsidR="00514D84" w:rsidRDefault="0051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36" w:rsidRDefault="00514D84">
    <w:pPr>
      <w:pStyle w:val="a4"/>
      <w:jc w:val="center"/>
    </w:pPr>
    <w:r>
      <w:fldChar w:fldCharType="begin"/>
    </w:r>
    <w:r>
      <w:instrText>PAGE   \* MERGEFORMAT</w:instrText>
    </w:r>
    <w:r>
      <w:fldChar w:fldCharType="separate"/>
    </w:r>
    <w:r>
      <w:rPr>
        <w:lang w:val="zh-CN"/>
      </w:rPr>
      <w:t>2</w:t>
    </w:r>
    <w:r>
      <w:fldChar w:fldCharType="end"/>
    </w:r>
  </w:p>
  <w:p w:rsidR="009F5036" w:rsidRDefault="009F50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D84" w:rsidRDefault="00514D84">
      <w:r>
        <w:separator/>
      </w:r>
    </w:p>
  </w:footnote>
  <w:footnote w:type="continuationSeparator" w:id="0">
    <w:p w:rsidR="00514D84" w:rsidRDefault="00514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36" w:rsidRDefault="009F5036">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15:restartNumberingAfterBreak="0">
    <w:nsid w:val="72B60872"/>
    <w:multiLevelType w:val="singleLevel"/>
    <w:tmpl w:val="72B60872"/>
    <w:lvl w:ilvl="0">
      <w:start w:val="2"/>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5C25F71"/>
    <w:rsid w:val="00514D84"/>
    <w:rsid w:val="009F5036"/>
    <w:rsid w:val="00AC392E"/>
    <w:rsid w:val="01C72F25"/>
    <w:rsid w:val="01F10E32"/>
    <w:rsid w:val="03C74493"/>
    <w:rsid w:val="04347E22"/>
    <w:rsid w:val="04867E14"/>
    <w:rsid w:val="06200464"/>
    <w:rsid w:val="06442C11"/>
    <w:rsid w:val="07494766"/>
    <w:rsid w:val="07EB1E51"/>
    <w:rsid w:val="0F52682F"/>
    <w:rsid w:val="125C6A32"/>
    <w:rsid w:val="14881AF2"/>
    <w:rsid w:val="14AD45C9"/>
    <w:rsid w:val="15B86B7B"/>
    <w:rsid w:val="15C25F71"/>
    <w:rsid w:val="19162955"/>
    <w:rsid w:val="1B196145"/>
    <w:rsid w:val="1B4F0EEE"/>
    <w:rsid w:val="1B966EBB"/>
    <w:rsid w:val="1E7B6E4A"/>
    <w:rsid w:val="1FBF46CA"/>
    <w:rsid w:val="22883B4A"/>
    <w:rsid w:val="234002B2"/>
    <w:rsid w:val="28EE7393"/>
    <w:rsid w:val="297B2D8D"/>
    <w:rsid w:val="2B455097"/>
    <w:rsid w:val="2D75653D"/>
    <w:rsid w:val="2EF06739"/>
    <w:rsid w:val="307B32F2"/>
    <w:rsid w:val="3236223A"/>
    <w:rsid w:val="372070DC"/>
    <w:rsid w:val="38712511"/>
    <w:rsid w:val="3BAE4C44"/>
    <w:rsid w:val="3CA2516F"/>
    <w:rsid w:val="3CC9427E"/>
    <w:rsid w:val="3D3423FE"/>
    <w:rsid w:val="3D520B56"/>
    <w:rsid w:val="3EA56474"/>
    <w:rsid w:val="3ED34B60"/>
    <w:rsid w:val="438605DC"/>
    <w:rsid w:val="440F77DD"/>
    <w:rsid w:val="461D2581"/>
    <w:rsid w:val="4670186A"/>
    <w:rsid w:val="46D22948"/>
    <w:rsid w:val="487C2525"/>
    <w:rsid w:val="4B6F2C4E"/>
    <w:rsid w:val="4CD25B49"/>
    <w:rsid w:val="4D277C83"/>
    <w:rsid w:val="4EB176DA"/>
    <w:rsid w:val="4EC04009"/>
    <w:rsid w:val="519D2833"/>
    <w:rsid w:val="52397002"/>
    <w:rsid w:val="52590CE1"/>
    <w:rsid w:val="52605F97"/>
    <w:rsid w:val="52832490"/>
    <w:rsid w:val="53C9453A"/>
    <w:rsid w:val="541B4C4C"/>
    <w:rsid w:val="542C0846"/>
    <w:rsid w:val="54AC2EB9"/>
    <w:rsid w:val="588D7A9A"/>
    <w:rsid w:val="592F511D"/>
    <w:rsid w:val="599F0F33"/>
    <w:rsid w:val="59A44634"/>
    <w:rsid w:val="59FA6170"/>
    <w:rsid w:val="5B43735C"/>
    <w:rsid w:val="5D6E6A81"/>
    <w:rsid w:val="5FC62935"/>
    <w:rsid w:val="60217093"/>
    <w:rsid w:val="62042DFA"/>
    <w:rsid w:val="62A3428C"/>
    <w:rsid w:val="6383653C"/>
    <w:rsid w:val="657A7D17"/>
    <w:rsid w:val="67CF1AEE"/>
    <w:rsid w:val="68374157"/>
    <w:rsid w:val="69DE389D"/>
    <w:rsid w:val="702A644E"/>
    <w:rsid w:val="703F7659"/>
    <w:rsid w:val="70F30267"/>
    <w:rsid w:val="728D2717"/>
    <w:rsid w:val="738C5F00"/>
    <w:rsid w:val="73D62E44"/>
    <w:rsid w:val="74815075"/>
    <w:rsid w:val="75633561"/>
    <w:rsid w:val="769F0E11"/>
    <w:rsid w:val="78822F31"/>
    <w:rsid w:val="78C27285"/>
    <w:rsid w:val="7A2A17D9"/>
    <w:rsid w:val="7ABE44C8"/>
    <w:rsid w:val="7B125725"/>
    <w:rsid w:val="7C516440"/>
    <w:rsid w:val="7E0B62E2"/>
    <w:rsid w:val="7E135B1F"/>
    <w:rsid w:val="7ECC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7C6C41"/>
  <w15:docId w15:val="{B2704488-B03F-40E1-86AB-D6892D15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semiHidden="1" w:uiPriority="99"/>
    <w:lsdException w:name="footer" w:uiPriority="99" w:qFormat="1"/>
    <w:lsdException w:name="caption" w:semiHidden="1" w:unhideWhenUsed="1" w:qFormat="1"/>
    <w:lsdException w:name="Title" w:qFormat="1"/>
    <w:lsdException w:name="Default Paragraph Font" w:semiHidden="1"/>
    <w:lsdException w:name="Body Text" w:uiPriority="99" w:qFormat="1"/>
    <w:lsdException w:name="Subtitle" w:qFormat="1"/>
    <w:lsdException w:name="Hyperlink" w:uiPriority="99" w:unhideWhenUsed="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beforeLines="30"/>
    </w:pPr>
    <w:rPr>
      <w:rFonts w:ascii="仿宋_GB2312" w:eastAsia="仿宋_GB2312"/>
      <w:kern w:val="0"/>
      <w:sz w:val="24"/>
      <w:szCs w:val="20"/>
    </w:rPr>
  </w:style>
  <w:style w:type="paragraph" w:styleId="a4">
    <w:name w:val="footer"/>
    <w:basedOn w:val="a"/>
    <w:uiPriority w:val="99"/>
    <w:qFormat/>
    <w:pPr>
      <w:tabs>
        <w:tab w:val="center" w:pos="4153"/>
        <w:tab w:val="right" w:pos="8306"/>
      </w:tabs>
      <w:snapToGrid w:val="0"/>
      <w:jc w:val="left"/>
    </w:pPr>
    <w:rPr>
      <w:rFonts w:ascii="Calibri" w:hAnsi="Calibri"/>
      <w:kern w:val="0"/>
      <w:sz w:val="18"/>
      <w:szCs w:val="20"/>
    </w:rPr>
  </w:style>
  <w:style w:type="paragraph" w:styleId="a5">
    <w:name w:val="header"/>
    <w:basedOn w:val="a"/>
    <w:uiPriority w:val="99"/>
    <w:semiHidden/>
    <w:pPr>
      <w:pBdr>
        <w:bottom w:val="single" w:sz="6" w:space="1" w:color="auto"/>
      </w:pBdr>
      <w:tabs>
        <w:tab w:val="center" w:pos="4153"/>
        <w:tab w:val="right" w:pos="8306"/>
      </w:tabs>
      <w:snapToGrid w:val="0"/>
      <w:jc w:val="center"/>
    </w:pPr>
    <w:rPr>
      <w:rFonts w:ascii="Calibri" w:hAnsi="Calibri"/>
      <w:kern w:val="0"/>
      <w:sz w:val="18"/>
      <w:szCs w:val="20"/>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rPr>
      <w:rFonts w:ascii="仿宋" w:eastAsia="仿宋" w:hAnsi="仿宋"/>
      <w:sz w:val="28"/>
      <w:szCs w:val="28"/>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uiPriority w:val="99"/>
    <w:qFormat/>
    <w:rPr>
      <w:b/>
    </w:rPr>
  </w:style>
  <w:style w:type="character" w:styleId="a8">
    <w:name w:val="Hyperlink"/>
    <w:basedOn w:val="a0"/>
    <w:uiPriority w:val="99"/>
    <w:unhideWhenUsed/>
    <w:rPr>
      <w:color w:val="0000FF"/>
      <w:u w:val="single"/>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Cambria" w:eastAsia="宋体" w:hAnsi="Cambria" w:cs="Times New Roman"/>
      <w:b/>
      <w:bCs/>
      <w:sz w:val="32"/>
      <w:szCs w:val="32"/>
    </w:rPr>
  </w:style>
  <w:style w:type="paragraph" w:customStyle="1" w:styleId="a9">
    <w:name w:val="列出段落"/>
    <w:basedOn w:val="a"/>
    <w:uiPriority w:val="34"/>
    <w:qFormat/>
    <w:pPr>
      <w:ind w:firstLineChars="200" w:firstLine="420"/>
    </w:p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27604;&#37325;&#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esktop\&#27604;&#37325;&#22270;.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SUS\Desktop\&#27604;&#37325;&#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Desktop\&#27604;&#37325;&#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esktop\&#27604;&#37325;&#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Desktop\&#27604;&#37325;&#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SUS\Desktop\&#27604;&#37325;&#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025694865064901"/>
          <c:y val="3.03030303030303E-2"/>
        </c:manualLayout>
      </c:layout>
      <c:overlay val="0"/>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title>
    <c:autoTitleDeleted val="0"/>
    <c:plotArea>
      <c:layout>
        <c:manualLayout>
          <c:layoutTarget val="inner"/>
          <c:xMode val="edge"/>
          <c:yMode val="edge"/>
          <c:x val="0.117949013293803"/>
          <c:y val="0.29166774557493502"/>
          <c:w val="0.40000100160507202"/>
          <c:h val="0.45454713596093699"/>
        </c:manualLayout>
      </c:layout>
      <c:barChart>
        <c:barDir val="col"/>
        <c:grouping val="clustered"/>
        <c:varyColors val="0"/>
        <c:ser>
          <c:idx val="0"/>
          <c:order val="0"/>
          <c:tx>
            <c:strRef>
              <c:f>"收入对比图"</c:f>
              <c:strCache>
                <c:ptCount val="1"/>
                <c:pt idx="0">
                  <c:v>收入对比图</c:v>
                </c:pt>
              </c:strCache>
            </c:strRef>
          </c:tx>
          <c:spPr>
            <a:solidFill>
              <a:srgbClr val="9999FF">
                <a:alpha val="100000"/>
              </a:srgbClr>
            </a:solidFill>
            <a:ln w="12700">
              <a:solidFill>
                <a:srgbClr val="000000">
                  <a:alpha val="100000"/>
                </a:srgbClr>
              </a:solidFill>
              <a:prstDash val="solid"/>
            </a:ln>
          </c:spPr>
          <c:invertIfNegative val="0"/>
          <c:dLbls>
            <c:spPr>
              <a:noFill/>
              <a:ln>
                <a:noFill/>
              </a:ln>
              <a:effectLst/>
            </c:spPr>
            <c:txPr>
              <a:bodyPr rot="0" spcFirstLastPara="0" vertOverflow="ellipsis" vert="horz" wrap="square" lIns="38100" tIns="19050" rIns="38100" bIns="19050"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[比重图.xls]决算公开与上年对比收支!$B$2:$B$3</c:f>
              <c:strCache>
                <c:ptCount val="2"/>
                <c:pt idx="0">
                  <c:v>2017年度收入</c:v>
                </c:pt>
                <c:pt idx="1">
                  <c:v>2018年度收入</c:v>
                </c:pt>
              </c:strCache>
            </c:strRef>
          </c:cat>
          <c:val>
            <c:numRef>
              <c:f>[比重图.xls]决算公开与上年对比收支!$C$2:$C$3</c:f>
              <c:numCache>
                <c:formatCode>#,##0.00_ </c:formatCode>
                <c:ptCount val="2"/>
                <c:pt idx="0">
                  <c:v>2146.65</c:v>
                </c:pt>
                <c:pt idx="1">
                  <c:v>1812.63</c:v>
                </c:pt>
              </c:numCache>
            </c:numRef>
          </c:val>
          <c:extLst>
            <c:ext xmlns:c16="http://schemas.microsoft.com/office/drawing/2014/chart" uri="{C3380CC4-5D6E-409C-BE32-E72D297353CC}">
              <c16:uniqueId val="{00000000-EC18-4CFD-A6AE-692430ADDF61}"/>
            </c:ext>
          </c:extLst>
        </c:ser>
        <c:dLbls>
          <c:showLegendKey val="0"/>
          <c:showVal val="1"/>
          <c:showCatName val="0"/>
          <c:showSerName val="0"/>
          <c:showPercent val="0"/>
          <c:showBubbleSize val="0"/>
        </c:dLbls>
        <c:gapWidth val="150"/>
        <c:axId val="625516145"/>
        <c:axId val="122766748"/>
      </c:barChart>
      <c:catAx>
        <c:axId val="625516145"/>
        <c:scaling>
          <c:orientation val="minMax"/>
        </c:scaling>
        <c:delete val="0"/>
        <c:axPos val="b"/>
        <c:numFmt formatCode="General"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122766748"/>
        <c:crosses val="autoZero"/>
        <c:auto val="1"/>
        <c:lblAlgn val="ctr"/>
        <c:lblOffset val="100"/>
        <c:tickLblSkip val="1"/>
        <c:noMultiLvlLbl val="0"/>
      </c:catAx>
      <c:valAx>
        <c:axId val="122766748"/>
        <c:scaling>
          <c:orientation val="minMax"/>
        </c:scaling>
        <c:delete val="0"/>
        <c:axPos val="l"/>
        <c:numFmt formatCode="#,##0.00_ " sourceLinked="1"/>
        <c:majorTickMark val="in"/>
        <c:minorTickMark val="none"/>
        <c:tickLblPos val="none"/>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625516145"/>
        <c:crosses val="autoZero"/>
        <c:crossBetween val="between"/>
      </c:valAx>
      <c:spPr>
        <a:noFill/>
        <a:ln>
          <a:noFill/>
        </a:ln>
        <a:effectLst/>
      </c:spPr>
    </c:plotArea>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55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4444930494799"/>
          <c:y val="3.1358885017421602E-2"/>
        </c:manualLayout>
      </c:layout>
      <c:overlay val="0"/>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title>
    <c:autoTitleDeleted val="0"/>
    <c:plotArea>
      <c:layout>
        <c:manualLayout>
          <c:layoutTarget val="inner"/>
          <c:xMode val="edge"/>
          <c:yMode val="edge"/>
          <c:x val="0.13503113630275199"/>
          <c:y val="0.34710906572981498"/>
          <c:w val="0.40972314842653301"/>
          <c:h val="0.46341463414634099"/>
        </c:manualLayout>
      </c:layout>
      <c:barChart>
        <c:barDir val="col"/>
        <c:grouping val="clustered"/>
        <c:varyColors val="0"/>
        <c:ser>
          <c:idx val="0"/>
          <c:order val="0"/>
          <c:tx>
            <c:strRef>
              <c:f>"支出对比图"</c:f>
              <c:strCache>
                <c:ptCount val="1"/>
                <c:pt idx="0">
                  <c:v>支出对比图</c:v>
                </c:pt>
              </c:strCache>
            </c:strRef>
          </c:tx>
          <c:spPr>
            <a:solidFill>
              <a:srgbClr val="9999FF">
                <a:alpha val="100000"/>
              </a:srgbClr>
            </a:solidFill>
            <a:ln w="12700">
              <a:solidFill>
                <a:srgbClr val="000000">
                  <a:alpha val="100000"/>
                </a:srgbClr>
              </a:solidFill>
              <a:prstDash val="solid"/>
            </a:ln>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[比重图.xls]决算公开与上年对比收支!$B$19:$B$20</c:f>
              <c:strCache>
                <c:ptCount val="2"/>
                <c:pt idx="0">
                  <c:v>2017年支出</c:v>
                </c:pt>
                <c:pt idx="1">
                  <c:v>2018年支出</c:v>
                </c:pt>
              </c:strCache>
            </c:strRef>
          </c:cat>
          <c:val>
            <c:numRef>
              <c:f>[比重图.xls]决算公开与上年对比收支!$C$19:$C$20</c:f>
              <c:numCache>
                <c:formatCode>#,##0.00_ </c:formatCode>
                <c:ptCount val="2"/>
                <c:pt idx="0">
                  <c:v>2798.41</c:v>
                </c:pt>
                <c:pt idx="1">
                  <c:v>1836.52</c:v>
                </c:pt>
              </c:numCache>
            </c:numRef>
          </c:val>
          <c:extLst>
            <c:ext xmlns:c16="http://schemas.microsoft.com/office/drawing/2014/chart" uri="{C3380CC4-5D6E-409C-BE32-E72D297353CC}">
              <c16:uniqueId val="{00000000-A210-4295-80EE-712BF4718C82}"/>
            </c:ext>
          </c:extLst>
        </c:ser>
        <c:dLbls>
          <c:showLegendKey val="0"/>
          <c:showVal val="1"/>
          <c:showCatName val="0"/>
          <c:showSerName val="0"/>
          <c:showPercent val="0"/>
          <c:showBubbleSize val="0"/>
        </c:dLbls>
        <c:gapWidth val="150"/>
        <c:axId val="391991774"/>
        <c:axId val="718320602"/>
      </c:barChart>
      <c:catAx>
        <c:axId val="391991774"/>
        <c:scaling>
          <c:orientation val="minMax"/>
        </c:scaling>
        <c:delete val="0"/>
        <c:axPos val="b"/>
        <c:numFmt formatCode="General"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718320602"/>
        <c:crosses val="autoZero"/>
        <c:auto val="1"/>
        <c:lblAlgn val="ctr"/>
        <c:lblOffset val="100"/>
        <c:tickLblSkip val="1"/>
        <c:noMultiLvlLbl val="0"/>
      </c:catAx>
      <c:valAx>
        <c:axId val="718320602"/>
        <c:scaling>
          <c:orientation val="minMax"/>
        </c:scaling>
        <c:delete val="0"/>
        <c:axPos val="l"/>
        <c:numFmt formatCode="#,##0.00_ " sourceLinked="1"/>
        <c:majorTickMark val="in"/>
        <c:minorTickMark val="none"/>
        <c:tickLblPos val="none"/>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391991774"/>
        <c:crosses val="autoZero"/>
        <c:crossBetween val="between"/>
      </c:valAx>
      <c:spPr>
        <a:noFill/>
        <a:ln>
          <a:noFill/>
        </a:ln>
        <a:effectLst/>
      </c:spPr>
    </c:plotArea>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0402165506574"/>
          <c:y val="4.6540880503144602E-2"/>
        </c:manualLayout>
      </c:layout>
      <c:overlay val="0"/>
      <c:txPr>
        <a:bodyPr rot="0" spcFirstLastPara="0" vertOverflow="ellipsis" vert="horz" wrap="square" anchor="ctr" anchorCtr="1"/>
        <a:lstStyle/>
        <a:p>
          <a:pPr>
            <a:defRPr lang="zh-CN" sz="8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title>
    <c:autoTitleDeleted val="0"/>
    <c:plotArea>
      <c:layout>
        <c:manualLayout>
          <c:layoutTarget val="inner"/>
          <c:xMode val="edge"/>
          <c:yMode val="edge"/>
          <c:x val="0.31322505800464001"/>
          <c:y val="0.339622641509434"/>
          <c:w val="0.220417633410673"/>
          <c:h val="0.44811320754716999"/>
        </c:manualLayout>
      </c:layout>
      <c:pieChart>
        <c:varyColors val="1"/>
        <c:ser>
          <c:idx val="0"/>
          <c:order val="0"/>
          <c:tx>
            <c:strRef>
              <c:f>"各项支出占总支出比重"</c:f>
              <c:strCache>
                <c:ptCount val="1"/>
                <c:pt idx="0">
                  <c:v>各项支出占总支出比重</c:v>
                </c:pt>
              </c:strCache>
            </c:strRef>
          </c:tx>
          <c:spPr>
            <a:solidFill>
              <a:srgbClr val="9999FF">
                <a:alpha val="100000"/>
              </a:srgbClr>
            </a:solidFill>
            <a:ln w="12700">
              <a:solidFill>
                <a:srgbClr val="000000">
                  <a:alpha val="100000"/>
                </a:srgbClr>
              </a:solidFill>
              <a:prstDash val="solid"/>
            </a:ln>
          </c:spPr>
          <c:dPt>
            <c:idx val="0"/>
            <c:bubble3D val="0"/>
            <c:extLst>
              <c:ext xmlns:c16="http://schemas.microsoft.com/office/drawing/2014/chart" uri="{C3380CC4-5D6E-409C-BE32-E72D297353CC}">
                <c16:uniqueId val="{00000001-627E-4247-A7DA-81F0F995DC94}"/>
              </c:ext>
            </c:extLst>
          </c:dPt>
          <c:dPt>
            <c:idx val="1"/>
            <c:bubble3D val="0"/>
            <c:spPr>
              <a:solidFill>
                <a:srgbClr val="993366">
                  <a:alpha val="100000"/>
                </a:srgbClr>
              </a:solidFill>
              <a:ln w="12700">
                <a:solidFill>
                  <a:srgbClr val="000000">
                    <a:alpha val="100000"/>
                  </a:srgbClr>
                </a:solidFill>
                <a:prstDash val="solid"/>
              </a:ln>
            </c:spPr>
            <c:extLst>
              <c:ext xmlns:c16="http://schemas.microsoft.com/office/drawing/2014/chart" uri="{C3380CC4-5D6E-409C-BE32-E72D297353CC}">
                <c16:uniqueId val="{00000003-627E-4247-A7DA-81F0F995DC94}"/>
              </c:ext>
            </c:extLst>
          </c:dPt>
          <c:dLbls>
            <c:numFmt formatCode="0.00%" sourceLinked="0"/>
            <c:spPr>
              <a:noFill/>
              <a:ln>
                <a:noFill/>
              </a:ln>
              <a:effectLst/>
            </c:spPr>
            <c:txPr>
              <a:bodyPr rot="0" spcFirstLastPara="0" vertOverflow="ellipsis" vert="horz" wrap="square" lIns="38100" tIns="19050" rIns="38100" bIns="19050" anchor="ctr" anchorCtr="1"/>
              <a:lstStyle/>
              <a:p>
                <a:pPr>
                  <a:defRPr lang="zh-CN" sz="8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bestFit"/>
            <c:showLegendKey val="0"/>
            <c:showVal val="0"/>
            <c:showCatName val="0"/>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[比重图.xls]决算公开饼图!$B$21:$B$22</c:f>
              <c:strCache>
                <c:ptCount val="2"/>
                <c:pt idx="0">
                  <c:v>基本支出</c:v>
                </c:pt>
                <c:pt idx="1">
                  <c:v>项目支出</c:v>
                </c:pt>
              </c:strCache>
            </c:strRef>
          </c:cat>
          <c:val>
            <c:numRef>
              <c:f>[比重图.xls]决算公开饼图!$C$21:$C$22</c:f>
              <c:numCache>
                <c:formatCode>#,##0.00_ </c:formatCode>
                <c:ptCount val="2"/>
                <c:pt idx="0">
                  <c:v>272.94</c:v>
                </c:pt>
                <c:pt idx="1">
                  <c:v>1563.58</c:v>
                </c:pt>
              </c:numCache>
            </c:numRef>
          </c:val>
          <c:extLst>
            <c:ext xmlns:c16="http://schemas.microsoft.com/office/drawing/2014/chart" uri="{C3380CC4-5D6E-409C-BE32-E72D297353CC}">
              <c16:uniqueId val="{00000004-627E-4247-A7DA-81F0F995DC94}"/>
            </c:ext>
          </c:extLst>
        </c:ser>
        <c:dLbls>
          <c:showLegendKey val="0"/>
          <c:showVal val="1"/>
          <c:showCatName val="0"/>
          <c:showSerName val="0"/>
          <c:showPercent val="1"/>
          <c:showBubbleSize val="0"/>
          <c:showLeaderLines val="1"/>
        </c:dLbls>
        <c:firstSliceAng val="0"/>
      </c:pieChart>
      <c:spPr>
        <a:noFill/>
        <a:ln>
          <a:noFill/>
        </a:ln>
        <a:effectLst/>
      </c:spPr>
    </c:plotArea>
    <c:legend>
      <c:legendPos val="r"/>
      <c:layout>
        <c:manualLayout>
          <c:xMode val="edge"/>
          <c:yMode val="edge"/>
          <c:x val="0.83758700696055699"/>
          <c:y val="0.48584905660377398"/>
          <c:w val="0.14385150812065001"/>
          <c:h val="0.155660377358491"/>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75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025694865064901"/>
          <c:y val="3.03030303030303E-2"/>
        </c:manualLayout>
      </c:layout>
      <c:overlay val="0"/>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title>
    <c:autoTitleDeleted val="0"/>
    <c:plotArea>
      <c:layout>
        <c:manualLayout>
          <c:layoutTarget val="inner"/>
          <c:xMode val="edge"/>
          <c:yMode val="edge"/>
          <c:x val="0.117949013293803"/>
          <c:y val="0.29166774557493502"/>
          <c:w val="0.40000100160507202"/>
          <c:h val="0.45454713596093699"/>
        </c:manualLayout>
      </c:layout>
      <c:barChart>
        <c:barDir val="col"/>
        <c:grouping val="clustered"/>
        <c:varyColors val="0"/>
        <c:ser>
          <c:idx val="0"/>
          <c:order val="0"/>
          <c:tx>
            <c:strRef>
              <c:f>"收入对比图"</c:f>
              <c:strCache>
                <c:ptCount val="1"/>
                <c:pt idx="0">
                  <c:v>收入对比图</c:v>
                </c:pt>
              </c:strCache>
            </c:strRef>
          </c:tx>
          <c:spPr>
            <a:solidFill>
              <a:srgbClr val="9999FF">
                <a:alpha val="100000"/>
              </a:srgbClr>
            </a:solidFill>
            <a:ln w="12700">
              <a:solidFill>
                <a:srgbClr val="000000">
                  <a:alpha val="100000"/>
                </a:srgbClr>
              </a:solidFill>
              <a:prstDash val="solid"/>
            </a:ln>
          </c:spPr>
          <c:invertIfNegative val="0"/>
          <c:dLbls>
            <c:spPr>
              <a:noFill/>
              <a:ln>
                <a:noFill/>
              </a:ln>
              <a:effectLst/>
            </c:spPr>
            <c:txPr>
              <a:bodyPr rot="0" spcFirstLastPara="0" vertOverflow="ellipsis" vert="horz" wrap="square" lIns="38100" tIns="19050" rIns="38100" bIns="19050"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[比重图.xls]决算公开与上年对比收支!$B$2:$B$3</c:f>
              <c:strCache>
                <c:ptCount val="2"/>
                <c:pt idx="0">
                  <c:v>2017年度收入</c:v>
                </c:pt>
                <c:pt idx="1">
                  <c:v>2018年度收入</c:v>
                </c:pt>
              </c:strCache>
            </c:strRef>
          </c:cat>
          <c:val>
            <c:numRef>
              <c:f>[比重图.xls]决算公开与上年对比收支!$C$2:$C$3</c:f>
              <c:numCache>
                <c:formatCode>#,##0.00_ </c:formatCode>
                <c:ptCount val="2"/>
                <c:pt idx="0">
                  <c:v>2146.65</c:v>
                </c:pt>
                <c:pt idx="1">
                  <c:v>1812.63</c:v>
                </c:pt>
              </c:numCache>
            </c:numRef>
          </c:val>
          <c:extLst>
            <c:ext xmlns:c16="http://schemas.microsoft.com/office/drawing/2014/chart" uri="{C3380CC4-5D6E-409C-BE32-E72D297353CC}">
              <c16:uniqueId val="{00000000-BCF8-4D28-89C6-71AFF5E793CB}"/>
            </c:ext>
          </c:extLst>
        </c:ser>
        <c:dLbls>
          <c:showLegendKey val="0"/>
          <c:showVal val="1"/>
          <c:showCatName val="0"/>
          <c:showSerName val="0"/>
          <c:showPercent val="0"/>
          <c:showBubbleSize val="0"/>
        </c:dLbls>
        <c:gapWidth val="150"/>
        <c:axId val="625516145"/>
        <c:axId val="122766748"/>
      </c:barChart>
      <c:catAx>
        <c:axId val="625516145"/>
        <c:scaling>
          <c:orientation val="minMax"/>
        </c:scaling>
        <c:delete val="0"/>
        <c:axPos val="b"/>
        <c:numFmt formatCode="General"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122766748"/>
        <c:crosses val="autoZero"/>
        <c:auto val="1"/>
        <c:lblAlgn val="ctr"/>
        <c:lblOffset val="100"/>
        <c:tickLblSkip val="1"/>
        <c:noMultiLvlLbl val="0"/>
      </c:catAx>
      <c:valAx>
        <c:axId val="122766748"/>
        <c:scaling>
          <c:orientation val="minMax"/>
        </c:scaling>
        <c:delete val="0"/>
        <c:axPos val="l"/>
        <c:numFmt formatCode="#,##0.00_ " sourceLinked="1"/>
        <c:majorTickMark val="in"/>
        <c:minorTickMark val="none"/>
        <c:tickLblPos val="none"/>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625516145"/>
        <c:crosses val="autoZero"/>
        <c:crossBetween val="between"/>
      </c:valAx>
      <c:spPr>
        <a:noFill/>
        <a:ln>
          <a:noFill/>
        </a:ln>
        <a:effectLst/>
      </c:spPr>
    </c:plotArea>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55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4444930494799"/>
          <c:y val="3.1358885017421602E-2"/>
        </c:manualLayout>
      </c:layout>
      <c:overlay val="0"/>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title>
    <c:autoTitleDeleted val="0"/>
    <c:plotArea>
      <c:layout>
        <c:manualLayout>
          <c:layoutTarget val="inner"/>
          <c:xMode val="edge"/>
          <c:yMode val="edge"/>
          <c:x val="0.13503113630275199"/>
          <c:y val="0.34710906572981498"/>
          <c:w val="0.40972314842653301"/>
          <c:h val="0.46341463414634099"/>
        </c:manualLayout>
      </c:layout>
      <c:barChart>
        <c:barDir val="col"/>
        <c:grouping val="clustered"/>
        <c:varyColors val="0"/>
        <c:ser>
          <c:idx val="0"/>
          <c:order val="0"/>
          <c:tx>
            <c:strRef>
              <c:f>"支出对比图"</c:f>
              <c:strCache>
                <c:ptCount val="1"/>
                <c:pt idx="0">
                  <c:v>支出对比图</c:v>
                </c:pt>
              </c:strCache>
            </c:strRef>
          </c:tx>
          <c:spPr>
            <a:solidFill>
              <a:srgbClr val="9999FF">
                <a:alpha val="100000"/>
              </a:srgbClr>
            </a:solidFill>
            <a:ln w="12700">
              <a:solidFill>
                <a:srgbClr val="000000">
                  <a:alpha val="100000"/>
                </a:srgbClr>
              </a:solidFill>
              <a:prstDash val="solid"/>
            </a:ln>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[比重图.xls]决算公开与上年对比收支!$B$19:$B$20</c:f>
              <c:strCache>
                <c:ptCount val="2"/>
                <c:pt idx="0">
                  <c:v>2017年支出</c:v>
                </c:pt>
                <c:pt idx="1">
                  <c:v>2018年支出</c:v>
                </c:pt>
              </c:strCache>
            </c:strRef>
          </c:cat>
          <c:val>
            <c:numRef>
              <c:f>[比重图.xls]决算公开与上年对比收支!$C$19:$C$20</c:f>
              <c:numCache>
                <c:formatCode>#,##0.00_ </c:formatCode>
                <c:ptCount val="2"/>
                <c:pt idx="0">
                  <c:v>2798.41</c:v>
                </c:pt>
                <c:pt idx="1">
                  <c:v>1836.52</c:v>
                </c:pt>
              </c:numCache>
            </c:numRef>
          </c:val>
          <c:extLst>
            <c:ext xmlns:c16="http://schemas.microsoft.com/office/drawing/2014/chart" uri="{C3380CC4-5D6E-409C-BE32-E72D297353CC}">
              <c16:uniqueId val="{00000000-91AB-44FF-8172-F854DDC5B668}"/>
            </c:ext>
          </c:extLst>
        </c:ser>
        <c:dLbls>
          <c:showLegendKey val="0"/>
          <c:showVal val="1"/>
          <c:showCatName val="0"/>
          <c:showSerName val="0"/>
          <c:showPercent val="0"/>
          <c:showBubbleSize val="0"/>
        </c:dLbls>
        <c:gapWidth val="150"/>
        <c:axId val="391991774"/>
        <c:axId val="718320602"/>
      </c:barChart>
      <c:catAx>
        <c:axId val="391991774"/>
        <c:scaling>
          <c:orientation val="minMax"/>
        </c:scaling>
        <c:delete val="0"/>
        <c:axPos val="b"/>
        <c:numFmt formatCode="General"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718320602"/>
        <c:crosses val="autoZero"/>
        <c:auto val="1"/>
        <c:lblAlgn val="ctr"/>
        <c:lblOffset val="100"/>
        <c:tickLblSkip val="1"/>
        <c:noMultiLvlLbl val="0"/>
      </c:catAx>
      <c:valAx>
        <c:axId val="718320602"/>
        <c:scaling>
          <c:orientation val="minMax"/>
        </c:scaling>
        <c:delete val="0"/>
        <c:axPos val="l"/>
        <c:numFmt formatCode="#,##0.00_ " sourceLinked="1"/>
        <c:majorTickMark val="in"/>
        <c:minorTickMark val="none"/>
        <c:tickLblPos val="none"/>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391991774"/>
        <c:crosses val="autoZero"/>
        <c:crossBetween val="between"/>
      </c:valAx>
      <c:spPr>
        <a:noFill/>
        <a:ln>
          <a:noFill/>
        </a:ln>
        <a:effectLst/>
      </c:spPr>
    </c:plotArea>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4444930494799"/>
          <c:y val="3.1358885017421602E-2"/>
        </c:manualLayout>
      </c:layout>
      <c:overlay val="0"/>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title>
    <c:autoTitleDeleted val="0"/>
    <c:plotArea>
      <c:layout>
        <c:manualLayout>
          <c:layoutTarget val="inner"/>
          <c:xMode val="edge"/>
          <c:yMode val="edge"/>
          <c:x val="0.13503113630275199"/>
          <c:y val="0.34710906572981498"/>
          <c:w val="0.40972314842653301"/>
          <c:h val="0.46341463414634099"/>
        </c:manualLayout>
      </c:layout>
      <c:barChart>
        <c:barDir val="col"/>
        <c:grouping val="clustered"/>
        <c:varyColors val="0"/>
        <c:ser>
          <c:idx val="0"/>
          <c:order val="0"/>
          <c:tx>
            <c:strRef>
              <c:f>"支出对比图"</c:f>
              <c:strCache>
                <c:ptCount val="1"/>
                <c:pt idx="0">
                  <c:v>支出对比图</c:v>
                </c:pt>
              </c:strCache>
            </c:strRef>
          </c:tx>
          <c:spPr>
            <a:solidFill>
              <a:srgbClr val="9999FF">
                <a:alpha val="100000"/>
              </a:srgbClr>
            </a:solidFill>
            <a:ln w="12700">
              <a:solidFill>
                <a:srgbClr val="000000">
                  <a:alpha val="100000"/>
                </a:srgbClr>
              </a:solidFill>
              <a:prstDash val="solid"/>
            </a:ln>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[比重图.xls]决算公开与上年对比收支!$B$19:$B$20</c:f>
              <c:strCache>
                <c:ptCount val="2"/>
                <c:pt idx="0">
                  <c:v>2017年支出</c:v>
                </c:pt>
                <c:pt idx="1">
                  <c:v>2018年支出</c:v>
                </c:pt>
              </c:strCache>
            </c:strRef>
          </c:cat>
          <c:val>
            <c:numRef>
              <c:f>[比重图.xls]决算公开与上年对比收支!$C$19:$C$20</c:f>
              <c:numCache>
                <c:formatCode>#,##0.00_ </c:formatCode>
                <c:ptCount val="2"/>
                <c:pt idx="0">
                  <c:v>2798.41</c:v>
                </c:pt>
                <c:pt idx="1">
                  <c:v>1836.52</c:v>
                </c:pt>
              </c:numCache>
            </c:numRef>
          </c:val>
          <c:extLst>
            <c:ext xmlns:c16="http://schemas.microsoft.com/office/drawing/2014/chart" uri="{C3380CC4-5D6E-409C-BE32-E72D297353CC}">
              <c16:uniqueId val="{00000000-712A-4092-93D4-A519F194AF26}"/>
            </c:ext>
          </c:extLst>
        </c:ser>
        <c:dLbls>
          <c:showLegendKey val="0"/>
          <c:showVal val="1"/>
          <c:showCatName val="0"/>
          <c:showSerName val="0"/>
          <c:showPercent val="0"/>
          <c:showBubbleSize val="0"/>
        </c:dLbls>
        <c:gapWidth val="150"/>
        <c:axId val="391991774"/>
        <c:axId val="718320602"/>
      </c:barChart>
      <c:catAx>
        <c:axId val="391991774"/>
        <c:scaling>
          <c:orientation val="minMax"/>
        </c:scaling>
        <c:delete val="0"/>
        <c:axPos val="b"/>
        <c:numFmt formatCode="General"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718320602"/>
        <c:crosses val="autoZero"/>
        <c:auto val="1"/>
        <c:lblAlgn val="ctr"/>
        <c:lblOffset val="100"/>
        <c:tickLblSkip val="1"/>
        <c:noMultiLvlLbl val="0"/>
      </c:catAx>
      <c:valAx>
        <c:axId val="718320602"/>
        <c:scaling>
          <c:orientation val="minMax"/>
        </c:scaling>
        <c:delete val="0"/>
        <c:axPos val="l"/>
        <c:numFmt formatCode="#,##0.00_ " sourceLinked="1"/>
        <c:majorTickMark val="in"/>
        <c:minorTickMark val="none"/>
        <c:tickLblPos val="none"/>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391991774"/>
        <c:crosses val="autoZero"/>
        <c:crossBetween val="between"/>
      </c:valAx>
      <c:spPr>
        <a:noFill/>
        <a:ln>
          <a:noFill/>
        </a:ln>
        <a:effectLst/>
      </c:spPr>
    </c:plotArea>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t>支出明细表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overlay val="0"/>
    </c:title>
    <c:autoTitleDeleted val="0"/>
    <c:plotArea>
      <c:layout/>
      <c:pieChart>
        <c:varyColors val="1"/>
        <c:ser>
          <c:idx val="0"/>
          <c:order val="0"/>
          <c:spPr>
            <a:solidFill>
              <a:srgbClr val="9999FF"/>
            </a:solidFill>
            <a:ln w="12700">
              <a:solidFill>
                <a:srgbClr val="000000"/>
              </a:solidFill>
              <a:prstDash val="solid"/>
            </a:ln>
          </c:spPr>
          <c:dPt>
            <c:idx val="0"/>
            <c:bubble3D val="0"/>
            <c:spPr>
              <a:solidFill>
                <a:srgbClr val="9999FF"/>
              </a:solidFill>
              <a:ln w="12700">
                <a:solidFill>
                  <a:srgbClr val="000000"/>
                </a:solidFill>
                <a:prstDash val="solid"/>
              </a:ln>
              <a:effectLst/>
            </c:spPr>
            <c:extLst>
              <c:ext xmlns:c16="http://schemas.microsoft.com/office/drawing/2014/chart" uri="{C3380CC4-5D6E-409C-BE32-E72D297353CC}">
                <c16:uniqueId val="{00000001-6388-44F6-A580-E894401A4194}"/>
              </c:ext>
            </c:extLst>
          </c:dPt>
          <c:dPt>
            <c:idx val="1"/>
            <c:bubble3D val="0"/>
            <c:spPr>
              <a:solidFill>
                <a:srgbClr val="993366"/>
              </a:solidFill>
              <a:ln w="12700">
                <a:solidFill>
                  <a:srgbClr val="000000"/>
                </a:solidFill>
                <a:prstDash val="solid"/>
              </a:ln>
              <a:effectLst/>
            </c:spPr>
            <c:extLst>
              <c:ext xmlns:c16="http://schemas.microsoft.com/office/drawing/2014/chart" uri="{C3380CC4-5D6E-409C-BE32-E72D297353CC}">
                <c16:uniqueId val="{00000003-6388-44F6-A580-E894401A4194}"/>
              </c:ext>
            </c:extLst>
          </c:dPt>
          <c:dPt>
            <c:idx val="2"/>
            <c:bubble3D val="0"/>
            <c:spPr>
              <a:solidFill>
                <a:srgbClr val="FFFFCC"/>
              </a:solidFill>
              <a:ln w="12700">
                <a:solidFill>
                  <a:srgbClr val="000000"/>
                </a:solidFill>
                <a:prstDash val="solid"/>
              </a:ln>
              <a:effectLst/>
            </c:spPr>
            <c:extLst>
              <c:ext xmlns:c16="http://schemas.microsoft.com/office/drawing/2014/chart" uri="{C3380CC4-5D6E-409C-BE32-E72D297353CC}">
                <c16:uniqueId val="{00000005-6388-44F6-A580-E894401A4194}"/>
              </c:ext>
            </c:extLst>
          </c:dPt>
          <c:dPt>
            <c:idx val="3"/>
            <c:bubble3D val="0"/>
            <c:spPr>
              <a:solidFill>
                <a:srgbClr val="CCFFFF"/>
              </a:solidFill>
              <a:ln w="12700">
                <a:solidFill>
                  <a:srgbClr val="000000"/>
                </a:solidFill>
                <a:prstDash val="solid"/>
              </a:ln>
              <a:effectLst/>
            </c:spPr>
            <c:extLst>
              <c:ext xmlns:c16="http://schemas.microsoft.com/office/drawing/2014/chart" uri="{C3380CC4-5D6E-409C-BE32-E72D297353CC}">
                <c16:uniqueId val="{00000007-6388-44F6-A580-E894401A4194}"/>
              </c:ext>
            </c:extLst>
          </c:dPt>
          <c:dPt>
            <c:idx val="4"/>
            <c:bubble3D val="0"/>
            <c:spPr>
              <a:solidFill>
                <a:srgbClr val="660066"/>
              </a:solidFill>
              <a:ln w="12700">
                <a:solidFill>
                  <a:srgbClr val="000000"/>
                </a:solidFill>
                <a:prstDash val="solid"/>
              </a:ln>
              <a:effectLst/>
            </c:spPr>
            <c:extLst>
              <c:ext xmlns:c16="http://schemas.microsoft.com/office/drawing/2014/chart" uri="{C3380CC4-5D6E-409C-BE32-E72D297353CC}">
                <c16:uniqueId val="{00000009-6388-44F6-A580-E894401A4194}"/>
              </c:ext>
            </c:extLst>
          </c:dPt>
          <c:dPt>
            <c:idx val="5"/>
            <c:bubble3D val="0"/>
            <c:spPr>
              <a:solidFill>
                <a:srgbClr val="FF8080"/>
              </a:solidFill>
              <a:ln w="12700">
                <a:solidFill>
                  <a:srgbClr val="000000"/>
                </a:solidFill>
                <a:prstDash val="solid"/>
              </a:ln>
              <a:effectLst/>
            </c:spPr>
            <c:extLst>
              <c:ext xmlns:c16="http://schemas.microsoft.com/office/drawing/2014/chart" uri="{C3380CC4-5D6E-409C-BE32-E72D297353CC}">
                <c16:uniqueId val="{0000000B-6388-44F6-A580-E894401A4194}"/>
              </c:ext>
            </c:extLst>
          </c:dPt>
          <c:dPt>
            <c:idx val="6"/>
            <c:bubble3D val="0"/>
            <c:spPr>
              <a:solidFill>
                <a:srgbClr val="0066CC"/>
              </a:solidFill>
              <a:ln w="12700">
                <a:solidFill>
                  <a:srgbClr val="000000"/>
                </a:solidFill>
                <a:prstDash val="solid"/>
              </a:ln>
              <a:effectLst/>
            </c:spPr>
            <c:extLst>
              <c:ext xmlns:c16="http://schemas.microsoft.com/office/drawing/2014/chart" uri="{C3380CC4-5D6E-409C-BE32-E72D297353CC}">
                <c16:uniqueId val="{0000000D-6388-44F6-A580-E894401A4194}"/>
              </c:ext>
            </c:extLst>
          </c:dPt>
          <c:dPt>
            <c:idx val="7"/>
            <c:bubble3D val="0"/>
            <c:spPr>
              <a:solidFill>
                <a:srgbClr val="CCCCFF"/>
              </a:solidFill>
              <a:ln w="12700">
                <a:solidFill>
                  <a:srgbClr val="000000"/>
                </a:solidFill>
                <a:prstDash val="solid"/>
              </a:ln>
              <a:effectLst/>
            </c:spPr>
            <c:extLst>
              <c:ext xmlns:c16="http://schemas.microsoft.com/office/drawing/2014/chart" uri="{C3380CC4-5D6E-409C-BE32-E72D297353CC}">
                <c16:uniqueId val="{0000000F-6388-44F6-A580-E894401A4194}"/>
              </c:ext>
            </c:extLst>
          </c:dPt>
          <c:dPt>
            <c:idx val="8"/>
            <c:bubble3D val="0"/>
            <c:spPr>
              <a:solidFill>
                <a:srgbClr val="000080"/>
              </a:solidFill>
              <a:ln w="12700">
                <a:solidFill>
                  <a:srgbClr val="000000"/>
                </a:solidFill>
                <a:prstDash val="solid"/>
              </a:ln>
              <a:effectLst/>
            </c:spPr>
            <c:extLst>
              <c:ext xmlns:c16="http://schemas.microsoft.com/office/drawing/2014/chart" uri="{C3380CC4-5D6E-409C-BE32-E72D297353CC}">
                <c16:uniqueId val="{00000011-6388-44F6-A580-E894401A4194}"/>
              </c:ext>
            </c:extLst>
          </c:dPt>
          <c:dPt>
            <c:idx val="9"/>
            <c:bubble3D val="0"/>
            <c:spPr>
              <a:solidFill>
                <a:srgbClr val="FF00FF"/>
              </a:solidFill>
              <a:ln w="12700">
                <a:solidFill>
                  <a:srgbClr val="000000"/>
                </a:solidFill>
                <a:prstDash val="solid"/>
              </a:ln>
              <a:effectLst/>
            </c:spPr>
            <c:extLst>
              <c:ext xmlns:c16="http://schemas.microsoft.com/office/drawing/2014/chart" uri="{C3380CC4-5D6E-409C-BE32-E72D297353CC}">
                <c16:uniqueId val="{00000013-6388-44F6-A580-E894401A4194}"/>
              </c:ext>
            </c:extLst>
          </c:dPt>
          <c:dPt>
            <c:idx val="10"/>
            <c:bubble3D val="0"/>
            <c:spPr>
              <a:solidFill>
                <a:srgbClr val="FFFF00"/>
              </a:solidFill>
              <a:ln w="12700">
                <a:solidFill>
                  <a:srgbClr val="000000"/>
                </a:solidFill>
                <a:prstDash val="solid"/>
              </a:ln>
              <a:effectLst/>
            </c:spPr>
            <c:extLst>
              <c:ext xmlns:c16="http://schemas.microsoft.com/office/drawing/2014/chart" uri="{C3380CC4-5D6E-409C-BE32-E72D297353CC}">
                <c16:uniqueId val="{00000015-6388-44F6-A580-E894401A4194}"/>
              </c:ext>
            </c:extLst>
          </c:dPt>
          <c:dPt>
            <c:idx val="11"/>
            <c:bubble3D val="0"/>
            <c:spPr>
              <a:solidFill>
                <a:srgbClr val="00FFFF"/>
              </a:solidFill>
              <a:ln w="12700">
                <a:solidFill>
                  <a:srgbClr val="000000"/>
                </a:solidFill>
                <a:prstDash val="solid"/>
              </a:ln>
              <a:effectLst/>
            </c:spPr>
            <c:extLst>
              <c:ext xmlns:c16="http://schemas.microsoft.com/office/drawing/2014/chart" uri="{C3380CC4-5D6E-409C-BE32-E72D297353CC}">
                <c16:uniqueId val="{00000017-6388-44F6-A580-E894401A4194}"/>
              </c:ext>
            </c:extLst>
          </c:dPt>
          <c:dPt>
            <c:idx val="12"/>
            <c:bubble3D val="0"/>
            <c:spPr>
              <a:solidFill>
                <a:srgbClr val="800080"/>
              </a:solidFill>
              <a:ln w="12700">
                <a:solidFill>
                  <a:srgbClr val="000000"/>
                </a:solidFill>
                <a:prstDash val="solid"/>
              </a:ln>
              <a:effectLst/>
            </c:spPr>
            <c:extLst>
              <c:ext xmlns:c16="http://schemas.microsoft.com/office/drawing/2014/chart" uri="{C3380CC4-5D6E-409C-BE32-E72D297353CC}">
                <c16:uniqueId val="{00000019-6388-44F6-A580-E894401A4194}"/>
              </c:ext>
            </c:extLst>
          </c:dPt>
          <c:dPt>
            <c:idx val="13"/>
            <c:bubble3D val="0"/>
            <c:spPr>
              <a:solidFill>
                <a:srgbClr val="800000"/>
              </a:solidFill>
              <a:ln w="12700">
                <a:solidFill>
                  <a:srgbClr val="000000"/>
                </a:solidFill>
                <a:prstDash val="solid"/>
              </a:ln>
              <a:effectLst/>
            </c:spPr>
            <c:extLst>
              <c:ext xmlns:c16="http://schemas.microsoft.com/office/drawing/2014/chart" uri="{C3380CC4-5D6E-409C-BE32-E72D297353CC}">
                <c16:uniqueId val="{0000001B-6388-44F6-A580-E894401A4194}"/>
              </c:ext>
            </c:extLst>
          </c:dPt>
          <c:dPt>
            <c:idx val="14"/>
            <c:bubble3D val="0"/>
            <c:spPr>
              <a:solidFill>
                <a:srgbClr val="008080"/>
              </a:solidFill>
              <a:ln w="12700">
                <a:solidFill>
                  <a:srgbClr val="000000"/>
                </a:solidFill>
                <a:prstDash val="solid"/>
              </a:ln>
              <a:effectLst/>
            </c:spPr>
            <c:extLst>
              <c:ext xmlns:c16="http://schemas.microsoft.com/office/drawing/2014/chart" uri="{C3380CC4-5D6E-409C-BE32-E72D297353CC}">
                <c16:uniqueId val="{0000001D-6388-44F6-A580-E894401A4194}"/>
              </c:ext>
            </c:extLst>
          </c:dPt>
          <c:dPt>
            <c:idx val="15"/>
            <c:bubble3D val="0"/>
            <c:extLst>
              <c:ext xmlns:c16="http://schemas.microsoft.com/office/drawing/2014/chart" uri="{C3380CC4-5D6E-409C-BE32-E72D297353CC}">
                <c16:uniqueId val="{0000001F-6388-44F6-A580-E894401A4194}"/>
              </c:ext>
            </c:extLst>
          </c:dPt>
          <c:dPt>
            <c:idx val="16"/>
            <c:bubble3D val="0"/>
            <c:extLst>
              <c:ext xmlns:c16="http://schemas.microsoft.com/office/drawing/2014/chart" uri="{C3380CC4-5D6E-409C-BE32-E72D297353CC}">
                <c16:uniqueId val="{00000021-6388-44F6-A580-E894401A4194}"/>
              </c:ext>
            </c:extLst>
          </c:dPt>
          <c:dPt>
            <c:idx val="17"/>
            <c:bubble3D val="0"/>
            <c:extLst>
              <c:ext xmlns:c16="http://schemas.microsoft.com/office/drawing/2014/chart" uri="{C3380CC4-5D6E-409C-BE32-E72D297353CC}">
                <c16:uniqueId val="{00000023-6388-44F6-A580-E894401A4194}"/>
              </c:ext>
            </c:extLst>
          </c:dPt>
          <c:dLbls>
            <c:numFmt formatCode="0.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[比重图.xls]收支!$B$22:$B$39</c:f>
              <c:strCache>
                <c:ptCount val="18"/>
                <c:pt idx="0">
                  <c:v>  未归口管理的行政单位离退休</c:v>
                </c:pt>
                <c:pt idx="1">
                  <c:v>  机关事业单位基本养老保险缴费支出</c:v>
                </c:pt>
                <c:pt idx="2">
                  <c:v>  机关事业单位职业年金缴费支出</c:v>
                </c:pt>
                <c:pt idx="3">
                  <c:v>死亡抚恤</c:v>
                </c:pt>
                <c:pt idx="4">
                  <c:v>  其他医疗卫生与计划生育管理事务支出</c:v>
                </c:pt>
                <c:pt idx="5">
                  <c:v>城市社区卫生机构</c:v>
                </c:pt>
                <c:pt idx="6">
                  <c:v>乡镇卫生院</c:v>
                </c:pt>
                <c:pt idx="7">
                  <c:v>其他基层医疗卫生机构支出</c:v>
                </c:pt>
                <c:pt idx="8">
                  <c:v>其他专业公共卫生机构</c:v>
                </c:pt>
                <c:pt idx="9">
                  <c:v>基本公共卫生服务</c:v>
                </c:pt>
                <c:pt idx="10">
                  <c:v>重大公共卫生专项</c:v>
                </c:pt>
                <c:pt idx="11">
                  <c:v>其他公共卫生支出</c:v>
                </c:pt>
                <c:pt idx="12">
                  <c:v>中医（民族医）药专项</c:v>
                </c:pt>
                <c:pt idx="13">
                  <c:v>其他中医药支出</c:v>
                </c:pt>
                <c:pt idx="14">
                  <c:v>事业单位医疗</c:v>
                </c:pt>
                <c:pt idx="15">
                  <c:v>公务员医疗补助</c:v>
                </c:pt>
                <c:pt idx="16">
                  <c:v>其他医疗卫生与计划生育支出</c:v>
                </c:pt>
                <c:pt idx="17">
                  <c:v>住房公积金</c:v>
                </c:pt>
              </c:strCache>
            </c:strRef>
          </c:cat>
          <c:val>
            <c:numRef>
              <c:f>[比重图.xls]收支!$C$22:$C$39</c:f>
              <c:numCache>
                <c:formatCode>#,##0.00_ </c:formatCode>
                <c:ptCount val="18"/>
                <c:pt idx="0">
                  <c:v>46074</c:v>
                </c:pt>
                <c:pt idx="1">
                  <c:v>280418</c:v>
                </c:pt>
                <c:pt idx="2">
                  <c:v>19294.080000000002</c:v>
                </c:pt>
                <c:pt idx="3">
                  <c:v>200400</c:v>
                </c:pt>
                <c:pt idx="4">
                  <c:v>19300</c:v>
                </c:pt>
                <c:pt idx="5">
                  <c:v>4000000</c:v>
                </c:pt>
                <c:pt idx="6">
                  <c:v>15000</c:v>
                </c:pt>
                <c:pt idx="7">
                  <c:v>2590867.7200000002</c:v>
                </c:pt>
                <c:pt idx="8">
                  <c:v>2098293.7799999998</c:v>
                </c:pt>
                <c:pt idx="9">
                  <c:v>8340833</c:v>
                </c:pt>
                <c:pt idx="10">
                  <c:v>158982</c:v>
                </c:pt>
                <c:pt idx="11">
                  <c:v>8145.17</c:v>
                </c:pt>
                <c:pt idx="12">
                  <c:v>32744</c:v>
                </c:pt>
                <c:pt idx="13">
                  <c:v>5000</c:v>
                </c:pt>
                <c:pt idx="14">
                  <c:v>135102.73000000001</c:v>
                </c:pt>
                <c:pt idx="15">
                  <c:v>13467.36</c:v>
                </c:pt>
                <c:pt idx="16">
                  <c:v>164960</c:v>
                </c:pt>
                <c:pt idx="17">
                  <c:v>236318</c:v>
                </c:pt>
              </c:numCache>
            </c:numRef>
          </c:val>
          <c:extLst>
            <c:ext xmlns:c16="http://schemas.microsoft.com/office/drawing/2014/chart" uri="{C3380CC4-5D6E-409C-BE32-E72D297353CC}">
              <c16:uniqueId val="{00000024-6388-44F6-A580-E894401A4194}"/>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4038901601830698"/>
          <c:y val="4.6064562930721802E-2"/>
          <c:w val="0.247254004576659"/>
          <c:h val="0.91204207471889698"/>
        </c:manualLayout>
      </c:layout>
      <c:overlay val="0"/>
      <c:spPr>
        <a:solidFill>
          <a:srgbClr val="FFFFFF"/>
        </a:solidFill>
        <a:ln>
          <a:solidFill>
            <a:srgbClr val="000000"/>
          </a:solidFill>
        </a:ln>
      </c:spPr>
      <c:txPr>
        <a:bodyPr rot="0" spcFirstLastPara="0" vertOverflow="ellipsis" vert="horz" wrap="square" anchor="ctr" anchorCtr="1"/>
        <a:lstStyle/>
        <a:p>
          <a:pPr>
            <a:defRPr lang="zh-CN" sz="57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cdr:x>
      <cdr:y>0.49762</cdr:y>
    </cdr:from>
    <cdr:to>
      <cdr:x>0.51856</cdr:x>
      <cdr:y>0.57267</cdr:y>
    </cdr:to>
    <cdr:sp macro="" textlink="">
      <cdr:nvSpPr>
        <cdr:cNvPr id="2" name="矩形 1"/>
        <cdr:cNvSpPr/>
      </cdr:nvSpPr>
      <cdr:spPr>
        <a:xfrm xmlns:a="http://schemas.openxmlformats.org/drawingml/2006/main">
          <a:off x="3233" y="1582"/>
          <a:ext cx="120" cy="239"/>
        </a:xfrm>
        <a:prstGeom xmlns:a="http://schemas.openxmlformats.org/drawingml/2006/main" prst="rect">
          <a:avLst/>
        </a:prstGeom>
        <a:noFill xmlns:a="http://schemas.openxmlformats.org/drawingml/2006/main"/>
        <a:ln xmlns:a="http://schemas.openxmlformats.org/drawingml/2006/main" w="1">
          <a:noFill/>
          <a:miter lim="800000"/>
        </a:ln>
        <a:effectLst xmlns:a="http://schemas.openxmlformats.org/drawingml/2006/main"/>
      </cdr:spPr>
      <cdr:txBody>
        <a:bodyPr xmlns:a="http://schemas.openxmlformats.org/drawingml/2006/main" vertOverflow="clip" vert="horz" wrap="square" lIns="27432" tIns="18288" rIns="27432" bIns="18288" anchor="ctr" anchorCtr="0" upright="1">
          <a:normAutofit/>
        </a:bodyPr>
        <a:lstStyle xmlns:a="http://schemas.openxmlformats.org/drawingml/2006/main"/>
        <a:p xmlns:a="http://schemas.openxmlformats.org/drawingml/2006/main">
          <a:pPr algn="ctr" rtl="1">
            <a:defRPr sz="1000"/>
          </a:pPr>
          <a:r>
            <a:rPr lang="zh-CN" altLang="en-US" sz="825" b="0" i="0" strike="noStrike">
              <a:solidFill>
                <a:srgbClr val="000000"/>
              </a:solidFill>
              <a:latin typeface="宋体" panose="02010600030101010101" charset="-122"/>
              <a:ea typeface="宋体" panose="02010600030101010101" charset="-122"/>
            </a:rPr>
            <a:t>                                 </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2420</Words>
  <Characters>13800</Characters>
  <Application>Microsoft Office Word</Application>
  <DocSecurity>0</DocSecurity>
  <Lines>115</Lines>
  <Paragraphs>32</Paragraphs>
  <ScaleCrop>false</ScaleCrop>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高倩</dc:creator>
  <cp:lastModifiedBy>Administrator</cp:lastModifiedBy>
  <cp:revision>2</cp:revision>
  <cp:lastPrinted>2019-10-24T10:56:00Z</cp:lastPrinted>
  <dcterms:created xsi:type="dcterms:W3CDTF">2019-10-23T02:12:00Z</dcterms:created>
  <dcterms:modified xsi:type="dcterms:W3CDTF">2019-10-25T11:03:00Z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