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1"/>
          <w:szCs w:val="21"/>
          <w:highlight w:val="none"/>
        </w:rPr>
      </w:pPr>
      <w:r>
        <w:rPr>
          <w:rFonts w:ascii="仿宋_GB2312" w:hAnsi="宋体" w:eastAsia="仿宋_GB2312" w:cs="仿宋_GB2312"/>
          <w:i w:val="0"/>
          <w:caps w:val="0"/>
          <w:color w:val="333333"/>
          <w:spacing w:val="0"/>
          <w:kern w:val="0"/>
          <w:sz w:val="28"/>
          <w:szCs w:val="28"/>
          <w:highlight w:val="none"/>
          <w:shd w:val="clear" w:fill="FFFFFF"/>
          <w:lang w:val="en-US" w:eastAsia="zh-CN" w:bidi="ar"/>
        </w:rPr>
        <w:t>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1、开展学术交流，活跃学术思想，繁荣学术园地，促进学科和经济发展。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2、拟定全区科普工作规划并组织实施；动员社会各方面力量，开展普及科学知识、弘扬科学精神，推广先进科学技术和开展青少年科技教育活动；指导科普阵地的规划，建设和管理科普队伍工作。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3、表彰优秀科技工作者，举荐人才。反映科技工作者的意见、建议和要求，维护科技工作者的合法权益。组织科技工作者参与制定全区科技政策、参与重大事务的政治协商，科学决策和民主监督，推进决策科学化、民主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4、开展科技工作者的继续教育、技术培训工作。开展科学论证、技术咨询和技术服务，促进科技成果的转化。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5、开展科技交流和合作，发展同国内外科技团体和科技工作者的友好往来。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6、管理所属学会，指导基层组织开展工作。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7、兴办符合区科协宗旨的社会公益性事业。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8、承办区委、区政府及上级科协交办的其他事项。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2018年重点工作任务：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1.加强思想作风建设，树立为民服务强意识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　一是认真学习领会和贯彻落实党的十九大精神，紧密结合实际，组织开展形式多样内容丰富务实有效的学习宣传活动；二是扎实开展“两学一做”常态化学习教育；三是认真学习贯彻中央、省、市、区委关于加强和改进党的群团工作的文件和会议精神，特别是习近平总书记在科技三会上的重要讲话精神；四是认真落实党的思想政治建设要求，努力建设政治过硬、作风务实、敢于担当的领导班子和干部职工队伍。不断加强思想作风建设，从严从实解决问题，提高全体干部职工、党员要有遵纪守法意识，结合党风廉政建设工作，做到思路上有创新，工作上有发展，成绩上有突破，作风上有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2.围绕重点工作部署，推动科协事业新发展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为更好地发挥科协联系党和政府与群众之间的桥梁和纽带作用，区科协紧紧围绕区委、区政府的重点工作部署，在今年重点抓了以下几项中心工作。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1）积极投入帮扶工作，密切党群干群关系。一是按照区委的安排入户走访慰问帮扶的困难党员群众，把党和政府的温暖和组织的关心，送到老百姓的心坎上。二是为保障解决发生在群众身边的困难，深入联系帮扶社区开展志愿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加快农村事业发展，参与“三下乡”服务队。为更好地服务人民、更深地回归基层，西区科协积极参加“三下乡”活动，开展贴近农村、贴近生活、贴近实际的科普宣传活动，把科普知识送进格里坪镇居民手中。共发放各类种养殖宣传资料800余份，吸引当地和周边民众广泛参与，普及了科学知识，推广了实用农业技术，努力提升农民群众综合素质，为推动农村精神文明建设，建设美丽西区提供强大的精神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3）做好“科技之春”活动。2018年3月，西区科协积极参与“科技之春”活动，与西区科知局、区青少年活动中心组织市青少年活动中心专家到区十八小宣传点进行宣传咨询服务活动。通过专家耐心讲解，在学生心中种下科学的种子，提升了青少年的科学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4）抓好群众性科普活动，用科学魅力抵制邪教。一是积极协办在西区基督教圣恩堂开展的“科普进寺观教堂”宣传活动；二是积极协办在西区河门口街办南街社区习风园举行的攀枝花市2018年“全国科普日”启动式暨社区科普益民联合行动；三是“全国科普日”期间，邀请市科技馆和市反邪教协会同志到市第二十小开展科普宣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5）形成群团部门合力，服务好人民群众。众人拾柴火焰高，为发挥好人民团体作为党和政府联系沟通人民群众的桥梁和纽带作用，贯彻好《中共中央关于加强和改进党的群团工作的意见》精神，科协积极参与妇联“爱心妈妈”、残联“关爱残疾儿童”、团区委“关爱留守儿童”各项活动，将科学普及与联系群众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 xml:space="preserve">  3.抓机器人创新大赛，提高青少年科学素质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 xml:space="preserve">  为推动青少年机器人科学技术普及，激发青少年学科学、爱科学的兴趣，丰富青少年电脑机器人校内外科技实践活动，2018年区科协、区教体局组建成立西区青少年电脑机器人创新竞赛参组委会，积极组织青少年参赛。通过比赛提高青少年科学素质。同时，区科协联合区教体局组织区属12所中、小学校的分管或业务负责老师，开展了一场青少年科技创新比赛组织流程及选题技巧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4.科普益民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一是积极推动农技协建设。促成西区竹林坡高山花椒种植协会成立。二是积极组织所属农技协骨干参加市第三届农村乡土人才创新创业大赛，取得了一等奖和三等奖各1名的优异成绩。三是积极向上级争取资金，推动我区科普事业发展，共为区山药协会、陶家渡街办学园社区争取省级科普资金十五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二、收支预算总体情况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2018年攀枝花市攀枝花市西区科学技术协会收入预算总额为32.050509万元，其中：当年财政拨款收入32.040509万元。同比下降0.68%，下降的主要原因是财政拨款减少，相应安排支出预算32.040509万元，其中：工资福利支出29.615129万元，对个人及家庭补助支出0万元，项目支出2.42538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三、支出预算安排情况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预算安排支出32.040509万元，主要用于保障该部门机构正常运转、完成日常工作任务以及本单位承担的项目工作，其中，安排政府采购 0.96万元，主要用于采购会计服务。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基本支出29.615129万元，是用于本单位正常运转的日常支出，包括基本工资、津贴补贴、住房公积金和日常公用经费等。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项目支出2.42538万元，是用于是用于攀枝花市西区科学技术协会为完成特定的行政工作任务，用于专项业务工作的经费支出和项目费用。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国有资产占有使用情况：截至 2018 年底，攀枝花市西区科学技术协会共有车辆0辆，其中：部级领导干部用车0辆、一般公务用车0辆、一般执法执勤用车0辆、特种专业技术用车0辆、其他用车0辆；单价 50 万元以上通用设备0台（套） ，单价 100 万元以上专用设备0台（套） ，单价 200 万元以上大型设备0台</w:t>
      </w:r>
      <w:bookmarkStart w:id="0" w:name="_GoBack"/>
      <w:bookmarkEnd w:id="0"/>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 xml:space="preserve">（套）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按支出功能分类主要用于以下方面: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（一）科协机构支出，主要用于事业在职人员经费、工作经费等。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（二）社会保障和就业，主要用于机关事业单位基本养老保险缴费和伤残抚恤支出。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（三）住房保障支出，用于机关单位按照规定标准为职工缴纳住房公积金等支出。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（四）科协专项支出，主要用于开展普及科学知识、弘扬科学精神，推广先进科学技术和开展青少年科技教育活动；指导科普阵地的规划，建设和管理科普队伍工作。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四、名词解释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1.收入预算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（1）财政拨款：指由一般公共预算、政府性基金预算安排的财政拨款数。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（2）一般公共预算：包括公共财政拨款（补助）资金、专项收入。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（1）功能分类：按照政府收支分类科目的功能分类“类”级科目填列。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（2）经济分类（支出用途）：按照支出用途分基本支出、项目支出、预留机动填列。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  ①基本支出：包括人员经费、商品和服务支出（定额）。其中，人员经费包括工资福利支出、对个人和家庭的补助。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pPr>
      <w:r>
        <w:rPr>
          <w:rFonts w:hint="eastAsia" w:ascii="仿宋_GB2312" w:hAnsi="宋体" w:eastAsia="仿宋_GB2312" w:cs="仿宋_GB2312"/>
          <w:i w:val="0"/>
          <w:caps w:val="0"/>
          <w:color w:val="333333"/>
          <w:spacing w:val="0"/>
          <w:kern w:val="0"/>
          <w:sz w:val="28"/>
          <w:szCs w:val="28"/>
          <w:highlight w:val="none"/>
          <w:shd w:val="clear" w:fill="FFFFFF"/>
          <w:lang w:val="en-US" w:eastAsia="zh-CN" w:bidi="ar"/>
        </w:rPr>
        <w:t>  ②项目支出：包括编入部门预算的单位运转性项目、政府专项资金项目的支出安排数。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D1DA6"/>
    <w:rsid w:val="329E798E"/>
    <w:rsid w:val="467E0E36"/>
    <w:rsid w:val="4AAD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2019-02-15T02:57:00Z</dcterms:created>
  <dc:creator>～</dc:creator>
  <cp:lastModifiedBy>～</cp:lastModifiedBy>
  <dcterms:modified xsi:type="dcterms:W3CDTF">2019-02-22T00:50:48Z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